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4E" w:rsidRDefault="006A1552" w:rsidP="0002194E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60720" cy="94235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552" w:rsidRPr="006A1552" w:rsidRDefault="006A1552" w:rsidP="006A1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6A1552">
        <w:rPr>
          <w:b/>
          <w:sz w:val="28"/>
          <w:szCs w:val="28"/>
        </w:rPr>
        <w:t>NOTICE</w:t>
      </w:r>
    </w:p>
    <w:p w:rsidR="006A1552" w:rsidRDefault="006A1552" w:rsidP="006A1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6A1552">
        <w:rPr>
          <w:b/>
          <w:sz w:val="28"/>
          <w:szCs w:val="28"/>
        </w:rPr>
        <w:t>POURQUOI ET COMMENT</w:t>
      </w:r>
      <w:r>
        <w:rPr>
          <w:b/>
          <w:sz w:val="28"/>
          <w:szCs w:val="28"/>
        </w:rPr>
        <w:t>…..</w:t>
      </w:r>
      <w:r w:rsidRPr="006A1552">
        <w:rPr>
          <w:b/>
          <w:sz w:val="28"/>
          <w:szCs w:val="28"/>
        </w:rPr>
        <w:t xml:space="preserve"> </w:t>
      </w:r>
    </w:p>
    <w:p w:rsidR="006A1552" w:rsidRPr="006A1552" w:rsidRDefault="006A1552" w:rsidP="0081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6A1552">
        <w:rPr>
          <w:b/>
          <w:sz w:val="28"/>
          <w:szCs w:val="28"/>
        </w:rPr>
        <w:t>REJOINDRE LE CONTRAT GROUPE D’ASSURANCE STATUTAIRE</w:t>
      </w:r>
      <w:r>
        <w:rPr>
          <w:b/>
          <w:sz w:val="28"/>
          <w:szCs w:val="28"/>
        </w:rPr>
        <w:t> ?</w:t>
      </w:r>
    </w:p>
    <w:p w:rsidR="006A1552" w:rsidRDefault="006A1552" w:rsidP="0002194E">
      <w:pPr>
        <w:spacing w:after="0"/>
        <w:rPr>
          <w:b/>
        </w:rPr>
      </w:pPr>
    </w:p>
    <w:p w:rsidR="000E378E" w:rsidRDefault="000E378E" w:rsidP="00697C31">
      <w:pPr>
        <w:spacing w:after="0"/>
        <w:jc w:val="both"/>
        <w:rPr>
          <w:b/>
        </w:rPr>
      </w:pPr>
    </w:p>
    <w:p w:rsidR="000E378E" w:rsidRDefault="000E378E" w:rsidP="00697C31">
      <w:pPr>
        <w:spacing w:after="0"/>
        <w:jc w:val="both"/>
        <w:rPr>
          <w:b/>
        </w:rPr>
      </w:pPr>
      <w:r>
        <w:rPr>
          <w:b/>
        </w:rPr>
        <w:t xml:space="preserve">Pourquoi ? </w:t>
      </w:r>
    </w:p>
    <w:p w:rsidR="000E378E" w:rsidRPr="00CD0B56" w:rsidRDefault="00B7300E" w:rsidP="00CD0B56">
      <w:pPr>
        <w:spacing w:after="0"/>
        <w:jc w:val="both"/>
      </w:pPr>
      <w:r w:rsidRPr="00CD0B56">
        <w:t>Le contrat groupe d’assurance statutaire proposé par le CDG31</w:t>
      </w:r>
      <w:r w:rsidR="000E378E" w:rsidRPr="00CD0B56">
        <w:t xml:space="preserve">, au titre de ses vingt années d’expertise et de son équipe dédiée, </w:t>
      </w:r>
      <w:r w:rsidRPr="00CD0B56">
        <w:t>permet aux collectivités et établissements publics territoriaux du département</w:t>
      </w:r>
      <w:r w:rsidR="000E378E" w:rsidRPr="00CD0B56">
        <w:t> de :</w:t>
      </w:r>
    </w:p>
    <w:p w:rsidR="000E378E" w:rsidRPr="00CD0B56" w:rsidRDefault="000E378E" w:rsidP="00CD0B56">
      <w:pPr>
        <w:spacing w:after="0"/>
        <w:jc w:val="both"/>
        <w:rPr>
          <w:rFonts w:cstheme="minorHAnsi"/>
        </w:rPr>
      </w:pPr>
    </w:p>
    <w:p w:rsidR="00B7300E" w:rsidRPr="00CD0B56" w:rsidRDefault="000E378E" w:rsidP="00CD0B56">
      <w:pPr>
        <w:spacing w:after="0"/>
        <w:jc w:val="both"/>
      </w:pPr>
      <w:r w:rsidRPr="00CD0B56">
        <w:rPr>
          <w:rFonts w:cstheme="minorHAnsi"/>
        </w:rPr>
        <w:t>→</w:t>
      </w:r>
      <w:r w:rsidRPr="00CD0B56">
        <w:t xml:space="preserve"> A</w:t>
      </w:r>
      <w:r w:rsidR="00B7300E" w:rsidRPr="00CD0B56">
        <w:t>ssurer le risque dit « statutaire » lié à l’absentéisme</w:t>
      </w:r>
      <w:r w:rsidR="006F4144" w:rsidRPr="00CD0B56">
        <w:t xml:space="preserve"> de leurs agents</w:t>
      </w:r>
      <w:r w:rsidR="00E2203D" w:rsidRPr="00CD0B56">
        <w:t>.</w:t>
      </w:r>
      <w:r w:rsidR="006F4144" w:rsidRPr="00CD0B56">
        <w:t xml:space="preserve"> </w:t>
      </w:r>
      <w:r w:rsidR="00B7300E" w:rsidRPr="00CD0B56">
        <w:t xml:space="preserve"> </w:t>
      </w:r>
    </w:p>
    <w:p w:rsidR="00B7300E" w:rsidRPr="00CD0B56" w:rsidRDefault="000E378E" w:rsidP="00CD0B56">
      <w:pPr>
        <w:spacing w:after="0"/>
        <w:jc w:val="both"/>
        <w:rPr>
          <w:rFonts w:cstheme="minorHAnsi"/>
        </w:rPr>
      </w:pPr>
      <w:r w:rsidRPr="00CD0B56">
        <w:rPr>
          <w:rFonts w:cstheme="minorHAnsi"/>
        </w:rPr>
        <w:t>→ Bénéficier d’une couverture financière adaptée en fonction des effectifs et du régime d’affiliation des agents (CNRACL et IRCANTEC)</w:t>
      </w:r>
    </w:p>
    <w:p w:rsidR="000E378E" w:rsidRDefault="000E378E" w:rsidP="00CD0B56">
      <w:pPr>
        <w:spacing w:after="0"/>
        <w:jc w:val="both"/>
        <w:rPr>
          <w:rFonts w:cstheme="minorHAnsi"/>
        </w:rPr>
      </w:pPr>
      <w:r w:rsidRPr="00CD0B56">
        <w:rPr>
          <w:rFonts w:cstheme="minorHAnsi"/>
        </w:rPr>
        <w:t xml:space="preserve">→ Bénéficier de garanties et </w:t>
      </w:r>
      <w:r w:rsidR="001653D8">
        <w:rPr>
          <w:rFonts w:cstheme="minorHAnsi"/>
        </w:rPr>
        <w:t xml:space="preserve">de conditions </w:t>
      </w:r>
      <w:r w:rsidRPr="00CD0B56">
        <w:rPr>
          <w:rFonts w:cstheme="minorHAnsi"/>
        </w:rPr>
        <w:t>financières mutualisées plus favorables</w:t>
      </w:r>
    </w:p>
    <w:p w:rsidR="00336E90" w:rsidRPr="00CD0B56" w:rsidRDefault="00336E90" w:rsidP="00CD0B56">
      <w:pPr>
        <w:spacing w:after="0"/>
        <w:jc w:val="both"/>
        <w:rPr>
          <w:rFonts w:cstheme="minorHAnsi"/>
        </w:rPr>
      </w:pPr>
      <w:r>
        <w:rPr>
          <w:rFonts w:cstheme="minorHAnsi"/>
        </w:rPr>
        <w:t>→ Bénéficier d’une expertise et d’un suivi personnalisé</w:t>
      </w:r>
    </w:p>
    <w:p w:rsidR="000B05A7" w:rsidRDefault="000E378E" w:rsidP="00CD0B56">
      <w:pPr>
        <w:spacing w:after="0"/>
        <w:jc w:val="both"/>
        <w:rPr>
          <w:rFonts w:cstheme="minorHAnsi"/>
        </w:rPr>
      </w:pPr>
      <w:r w:rsidRPr="00CD0B56">
        <w:rPr>
          <w:rFonts w:cstheme="minorHAnsi"/>
        </w:rPr>
        <w:t xml:space="preserve">→ Etre accompagné par un correspondant dédié pour </w:t>
      </w:r>
      <w:r w:rsidR="000B05A7">
        <w:rPr>
          <w:rFonts w:cstheme="minorHAnsi"/>
        </w:rPr>
        <w:t xml:space="preserve">choisir et </w:t>
      </w:r>
      <w:r w:rsidRPr="00CD0B56">
        <w:rPr>
          <w:rFonts w:cstheme="minorHAnsi"/>
        </w:rPr>
        <w:t>optimiser la couverture et exploiter les services annexes (bilans et statistiques, recours contre tie</w:t>
      </w:r>
      <w:r w:rsidR="00336E90">
        <w:rPr>
          <w:rFonts w:cstheme="minorHAnsi"/>
        </w:rPr>
        <w:t>r</w:t>
      </w:r>
      <w:r w:rsidRPr="00CD0B56">
        <w:rPr>
          <w:rFonts w:cstheme="minorHAnsi"/>
        </w:rPr>
        <w:t>s</w:t>
      </w:r>
      <w:r w:rsidR="00336E90">
        <w:rPr>
          <w:rFonts w:cstheme="minorHAnsi"/>
        </w:rPr>
        <w:t xml:space="preserve"> responsable</w:t>
      </w:r>
      <w:r w:rsidRPr="00CD0B56">
        <w:rPr>
          <w:rFonts w:cstheme="minorHAnsi"/>
        </w:rPr>
        <w:t xml:space="preserve">, service d’aide psychologique </w:t>
      </w:r>
    </w:p>
    <w:p w:rsidR="000E378E" w:rsidRPr="00CD0B56" w:rsidRDefault="000B05A7" w:rsidP="00CD0B56">
      <w:pPr>
        <w:spacing w:after="0"/>
        <w:jc w:val="both"/>
      </w:pPr>
      <w:r>
        <w:rPr>
          <w:rFonts w:cstheme="minorHAnsi"/>
        </w:rPr>
        <w:t>→Maitriser l’évolution des coûts de l’assurance par l’effet de mutualisation du contrat et un mécanisme de révision des prix intégré au marché</w:t>
      </w:r>
      <w:r w:rsidR="000E378E" w:rsidRPr="00CD0B56">
        <w:rPr>
          <w:rFonts w:cstheme="minorHAnsi"/>
        </w:rPr>
        <w:t xml:space="preserve">  </w:t>
      </w:r>
    </w:p>
    <w:p w:rsidR="00697C31" w:rsidRDefault="00697C31" w:rsidP="0002194E">
      <w:pPr>
        <w:spacing w:after="0"/>
        <w:rPr>
          <w:b/>
        </w:rPr>
      </w:pPr>
    </w:p>
    <w:p w:rsidR="00B7300E" w:rsidRPr="0026761B" w:rsidRDefault="00CD0B56" w:rsidP="0026761B">
      <w:pPr>
        <w:spacing w:after="0"/>
        <w:jc w:val="both"/>
        <w:rPr>
          <w:b/>
          <w:i/>
        </w:rPr>
      </w:pPr>
      <w:r w:rsidRPr="0026761B">
        <w:rPr>
          <w:b/>
          <w:i/>
        </w:rPr>
        <w:t xml:space="preserve">Au 1er janvier 2021, </w:t>
      </w:r>
      <w:r w:rsidR="0026761B" w:rsidRPr="0026761B">
        <w:rPr>
          <w:b/>
          <w:i/>
        </w:rPr>
        <w:t xml:space="preserve">300 employeurs publics territoriaux représentant 3 030 agents </w:t>
      </w:r>
      <w:r w:rsidR="005D30D8">
        <w:rPr>
          <w:b/>
          <w:i/>
        </w:rPr>
        <w:t>sont adhérents</w:t>
      </w:r>
      <w:r w:rsidR="0026761B" w:rsidRPr="0026761B">
        <w:rPr>
          <w:b/>
          <w:i/>
        </w:rPr>
        <w:t xml:space="preserve"> à la couverture du risque afférent aux agents affiliés à l’IRCANTEC et 400 employeurs territoriaux représentant 8 221 agents </w:t>
      </w:r>
      <w:r w:rsidR="005D30D8">
        <w:rPr>
          <w:b/>
          <w:i/>
        </w:rPr>
        <w:t>adhérent</w:t>
      </w:r>
      <w:r w:rsidR="0026761B" w:rsidRPr="0026761B">
        <w:rPr>
          <w:b/>
          <w:i/>
        </w:rPr>
        <w:t xml:space="preserve"> à la couverture du risque afférent aux agents affiliés à la CNRACL.</w:t>
      </w:r>
    </w:p>
    <w:p w:rsidR="0026761B" w:rsidRDefault="0026761B" w:rsidP="0002194E">
      <w:pPr>
        <w:spacing w:after="0"/>
        <w:rPr>
          <w:b/>
        </w:rPr>
      </w:pPr>
    </w:p>
    <w:p w:rsidR="00A2710F" w:rsidRDefault="000B05A7" w:rsidP="00DB7472">
      <w:pPr>
        <w:spacing w:after="0"/>
        <w:jc w:val="both"/>
        <w:rPr>
          <w:b/>
        </w:rPr>
      </w:pPr>
      <w:r>
        <w:rPr>
          <w:b/>
        </w:rPr>
        <w:t>Ces assurés choisissent lors de leur adhésion au contrat groupe :</w:t>
      </w:r>
    </w:p>
    <w:p w:rsidR="00827DC7" w:rsidRPr="00827DC7" w:rsidRDefault="000B05A7" w:rsidP="00DB7472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 w:rsidRPr="00827DC7">
        <w:rPr>
          <w:b/>
        </w:rPr>
        <w:t xml:space="preserve">les risques assurés : </w:t>
      </w:r>
    </w:p>
    <w:p w:rsidR="00827DC7" w:rsidRDefault="000B05A7" w:rsidP="00827DC7">
      <w:pPr>
        <w:pStyle w:val="Paragraphedeliste"/>
        <w:numPr>
          <w:ilvl w:val="1"/>
          <w:numId w:val="2"/>
        </w:numPr>
        <w:spacing w:after="0"/>
        <w:jc w:val="both"/>
      </w:pPr>
      <w:r w:rsidRPr="00DB7472">
        <w:t xml:space="preserve">décès, </w:t>
      </w:r>
    </w:p>
    <w:p w:rsidR="00827DC7" w:rsidRDefault="000B05A7" w:rsidP="00827DC7">
      <w:pPr>
        <w:pStyle w:val="Paragraphedeliste"/>
        <w:numPr>
          <w:ilvl w:val="1"/>
          <w:numId w:val="2"/>
        </w:numPr>
        <w:spacing w:after="0"/>
        <w:jc w:val="both"/>
      </w:pPr>
      <w:r w:rsidRPr="00DB7472">
        <w:t xml:space="preserve">accident et maladie imputable au service, </w:t>
      </w:r>
    </w:p>
    <w:p w:rsidR="00827DC7" w:rsidRDefault="000B05A7" w:rsidP="00827DC7">
      <w:pPr>
        <w:pStyle w:val="Paragraphedeliste"/>
        <w:numPr>
          <w:ilvl w:val="1"/>
          <w:numId w:val="2"/>
        </w:numPr>
        <w:spacing w:after="0"/>
        <w:jc w:val="both"/>
      </w:pPr>
      <w:r w:rsidRPr="00DB7472">
        <w:t xml:space="preserve">accident et maladie non imputable au service soit la maladie ordinaire, </w:t>
      </w:r>
    </w:p>
    <w:p w:rsidR="00827DC7" w:rsidRDefault="000B05A7" w:rsidP="00827DC7">
      <w:pPr>
        <w:pStyle w:val="Paragraphedeliste"/>
        <w:numPr>
          <w:ilvl w:val="1"/>
          <w:numId w:val="2"/>
        </w:numPr>
        <w:spacing w:after="0"/>
        <w:jc w:val="both"/>
      </w:pPr>
      <w:r w:rsidRPr="00DB7472">
        <w:t>maternité-paternité- adoption</w:t>
      </w:r>
      <w:r w:rsidR="00827DC7">
        <w:t xml:space="preserve">, </w:t>
      </w:r>
      <w:r w:rsidRPr="00DB7472">
        <w:t>accueil de l’enfan</w:t>
      </w:r>
      <w:r w:rsidR="00827DC7">
        <w:t xml:space="preserve">t </w:t>
      </w:r>
    </w:p>
    <w:p w:rsidR="00827DC7" w:rsidRDefault="00827DC7" w:rsidP="00827DC7">
      <w:pPr>
        <w:pStyle w:val="Paragraphedeliste"/>
        <w:spacing w:after="0"/>
        <w:ind w:left="360"/>
        <w:jc w:val="both"/>
      </w:pPr>
      <w:proofErr w:type="gramStart"/>
      <w:r w:rsidRPr="00827DC7">
        <w:t>et</w:t>
      </w:r>
      <w:proofErr w:type="gramEnd"/>
      <w:r w:rsidRPr="00827DC7">
        <w:t xml:space="preserve"> les franchises applicables selon les risques</w:t>
      </w:r>
      <w:r>
        <w:t xml:space="preserve"> (10 jours, 20 jours ou 30 jours).</w:t>
      </w:r>
    </w:p>
    <w:p w:rsidR="000B05A7" w:rsidRDefault="000B05A7" w:rsidP="00827DC7">
      <w:pPr>
        <w:pStyle w:val="Paragraphedeliste"/>
        <w:spacing w:after="0"/>
        <w:ind w:left="360"/>
        <w:jc w:val="both"/>
      </w:pPr>
    </w:p>
    <w:p w:rsidR="000B05A7" w:rsidRPr="00DB7472" w:rsidRDefault="000B05A7" w:rsidP="00DB7472">
      <w:pPr>
        <w:pStyle w:val="Paragraphedeliste"/>
        <w:numPr>
          <w:ilvl w:val="0"/>
          <w:numId w:val="2"/>
        </w:numPr>
        <w:spacing w:after="0"/>
        <w:jc w:val="both"/>
      </w:pPr>
      <w:r w:rsidRPr="00827DC7">
        <w:rPr>
          <w:b/>
        </w:rPr>
        <w:t>la base d’assurance</w:t>
      </w:r>
      <w:r w:rsidRPr="00DB7472">
        <w:t> qui détermine l’étendue des dépenses couvertes et l’assiette de cotisation</w:t>
      </w:r>
      <w:r w:rsidR="00C6430E">
        <w:t xml:space="preserve"> </w:t>
      </w:r>
      <w:r w:rsidR="00C6430E" w:rsidRPr="00DB7472">
        <w:t>(traitement indiciaire brut et/ou NBI et/ou SFT et/ou primes et/ou charges patronales)</w:t>
      </w:r>
      <w:r w:rsidRPr="00DB7472">
        <w:t>.</w:t>
      </w:r>
    </w:p>
    <w:p w:rsidR="00827DC7" w:rsidRDefault="00827DC7" w:rsidP="000B05A7">
      <w:pPr>
        <w:spacing w:after="0"/>
        <w:jc w:val="both"/>
        <w:rPr>
          <w:b/>
        </w:rPr>
      </w:pPr>
    </w:p>
    <w:p w:rsidR="000B05A7" w:rsidRPr="00DB7472" w:rsidRDefault="000B05A7" w:rsidP="000B05A7">
      <w:pPr>
        <w:spacing w:after="0"/>
        <w:jc w:val="both"/>
        <w:rPr>
          <w:b/>
        </w:rPr>
      </w:pPr>
      <w:r w:rsidRPr="00DB7472">
        <w:rPr>
          <w:b/>
        </w:rPr>
        <w:t>Les assurés s’acquittent :</w:t>
      </w:r>
    </w:p>
    <w:p w:rsidR="000B05A7" w:rsidRPr="00DB7472" w:rsidRDefault="000B05A7" w:rsidP="000B05A7">
      <w:pPr>
        <w:pStyle w:val="Paragraphedeliste"/>
        <w:numPr>
          <w:ilvl w:val="0"/>
          <w:numId w:val="2"/>
        </w:numPr>
        <w:spacing w:after="0"/>
        <w:jc w:val="both"/>
      </w:pPr>
      <w:r w:rsidRPr="00827DC7">
        <w:rPr>
          <w:b/>
        </w:rPr>
        <w:t>d’une prime d’assurance</w:t>
      </w:r>
      <w:r w:rsidRPr="00DB7472">
        <w:t xml:space="preserve"> </w:t>
      </w:r>
      <w:r w:rsidR="001653D8">
        <w:t>auprès de l’assureur</w:t>
      </w:r>
      <w:r w:rsidR="00171F76" w:rsidRPr="00DB7472">
        <w:t xml:space="preserve"> </w:t>
      </w:r>
      <w:r w:rsidRPr="00DB7472">
        <w:t>correspondant au produit du taux proposé au titre du marché par la masse salariale assurée ;</w:t>
      </w:r>
    </w:p>
    <w:p w:rsidR="00C6430E" w:rsidRPr="00827DC7" w:rsidRDefault="000B05A7" w:rsidP="00827DC7">
      <w:pPr>
        <w:pStyle w:val="Paragraphedeliste"/>
        <w:numPr>
          <w:ilvl w:val="0"/>
          <w:numId w:val="2"/>
        </w:numPr>
        <w:spacing w:after="0"/>
        <w:jc w:val="both"/>
        <w:rPr>
          <w:b/>
        </w:rPr>
      </w:pPr>
      <w:r w:rsidRPr="00827DC7">
        <w:rPr>
          <w:b/>
        </w:rPr>
        <w:t>de frais de gestion</w:t>
      </w:r>
      <w:r w:rsidR="00171F76" w:rsidRPr="00DB7472">
        <w:t xml:space="preserve"> auprès du CDG31 représentant 5% du montant des primes avec un minimum de perception de 25€</w:t>
      </w:r>
      <w:r w:rsidRPr="00DB7472">
        <w:t xml:space="preserve">. </w:t>
      </w:r>
      <w:r w:rsidR="00DD404D" w:rsidRPr="00827DC7">
        <w:rPr>
          <w:b/>
        </w:rPr>
        <w:br w:type="page"/>
      </w:r>
    </w:p>
    <w:p w:rsidR="00827DC7" w:rsidRDefault="00827DC7" w:rsidP="0002194E">
      <w:pPr>
        <w:spacing w:after="0"/>
        <w:rPr>
          <w:b/>
        </w:rPr>
      </w:pPr>
    </w:p>
    <w:p w:rsidR="000B05A7" w:rsidRDefault="00DD404D" w:rsidP="0002194E">
      <w:pPr>
        <w:spacing w:after="0"/>
        <w:rPr>
          <w:b/>
        </w:rPr>
      </w:pPr>
      <w:r>
        <w:rPr>
          <w:b/>
        </w:rPr>
        <w:t>Comment ?</w:t>
      </w:r>
    </w:p>
    <w:p w:rsidR="00835436" w:rsidRDefault="00835436" w:rsidP="0002194E">
      <w:pPr>
        <w:spacing w:after="0"/>
        <w:rPr>
          <w:b/>
        </w:rPr>
      </w:pPr>
    </w:p>
    <w:p w:rsidR="00DD404D" w:rsidRDefault="00DD404D" w:rsidP="0002194E">
      <w:pPr>
        <w:spacing w:after="0"/>
        <w:jc w:val="both"/>
      </w:pPr>
      <w:r>
        <w:t>En demandant à être associé à la mise en concurrence que le CDG31 va engager pour la mise en place d’un contrat groupe d’assurance statutaire à effet au 1</w:t>
      </w:r>
      <w:r w:rsidRPr="00DD404D">
        <w:rPr>
          <w:vertAlign w:val="superscript"/>
        </w:rPr>
        <w:t>er</w:t>
      </w:r>
      <w:r>
        <w:t xml:space="preserve"> janvier 2022….</w:t>
      </w:r>
    </w:p>
    <w:p w:rsidR="00DD404D" w:rsidRDefault="00DD404D" w:rsidP="0002194E">
      <w:pPr>
        <w:spacing w:after="0"/>
        <w:jc w:val="both"/>
      </w:pPr>
    </w:p>
    <w:p w:rsidR="00DD404D" w:rsidRDefault="00DD404D" w:rsidP="0002194E">
      <w:pPr>
        <w:spacing w:after="0"/>
        <w:jc w:val="both"/>
      </w:pPr>
      <w:r>
        <w:t xml:space="preserve">En conservant sa totale liberté d’adhésion, car cette demande s’effectue sans </w:t>
      </w:r>
      <w:r w:rsidR="00FA7F94">
        <w:t xml:space="preserve">obligation </w:t>
      </w:r>
      <w:r>
        <w:t>de souscrire une couverture une fois le contrat groupe attribué…et ce n’est qu’</w:t>
      </w:r>
      <w:r w:rsidR="00FA7F94">
        <w:t>a</w:t>
      </w:r>
      <w:r>
        <w:t>u vu des couverture et tarif</w:t>
      </w:r>
      <w:r w:rsidR="00FA7F94">
        <w:t xml:space="preserve">s </w:t>
      </w:r>
      <w:r>
        <w:t>obtenus que l’employeur territorial décidera d’adhérer ou pas au contrat groupe…</w:t>
      </w:r>
    </w:p>
    <w:p w:rsidR="00DD404D" w:rsidRDefault="00DD404D" w:rsidP="0002194E">
      <w:pPr>
        <w:spacing w:after="0"/>
        <w:jc w:val="both"/>
      </w:pPr>
    </w:p>
    <w:p w:rsidR="0002194E" w:rsidRDefault="0002194E" w:rsidP="0002194E">
      <w:pPr>
        <w:spacing w:after="0"/>
        <w:jc w:val="both"/>
      </w:pPr>
    </w:p>
    <w:p w:rsidR="00564581" w:rsidRDefault="00DD404D" w:rsidP="0002194E">
      <w:pPr>
        <w:spacing w:after="0"/>
        <w:jc w:val="both"/>
      </w:pPr>
      <w:r>
        <w:t xml:space="preserve">La </w:t>
      </w:r>
      <w:r w:rsidR="0002194E">
        <w:t>demande d</w:t>
      </w:r>
      <w:r>
        <w:t xml:space="preserve">oit être </w:t>
      </w:r>
      <w:r w:rsidR="0002194E">
        <w:t xml:space="preserve">transmise au CDG31 à </w:t>
      </w:r>
      <w:hyperlink r:id="rId9" w:history="1">
        <w:r w:rsidR="0002194E" w:rsidRPr="00D61295">
          <w:rPr>
            <w:rStyle w:val="Lienhypertexte"/>
          </w:rPr>
          <w:t>assurance@cdg31.fr</w:t>
        </w:r>
      </w:hyperlink>
      <w:r w:rsidR="00FC26DF">
        <w:t xml:space="preserve"> avant le 20 a</w:t>
      </w:r>
      <w:r w:rsidR="0002194E">
        <w:t>oût 2021 dernier délai</w:t>
      </w:r>
      <w:r w:rsidR="00564581">
        <w:t xml:space="preserve"> et comprendre :</w:t>
      </w:r>
    </w:p>
    <w:p w:rsidR="00564581" w:rsidRDefault="00564581" w:rsidP="0002194E">
      <w:pPr>
        <w:spacing w:after="0"/>
        <w:jc w:val="both"/>
      </w:pPr>
    </w:p>
    <w:p w:rsidR="002F2530" w:rsidRDefault="00564581" w:rsidP="0002194E">
      <w:pPr>
        <w:pStyle w:val="Paragraphedeliste"/>
        <w:numPr>
          <w:ilvl w:val="0"/>
          <w:numId w:val="1"/>
        </w:numPr>
        <w:spacing w:after="0"/>
        <w:jc w:val="both"/>
      </w:pPr>
      <w:r>
        <w:t>une délibération pour demander à participer à la mise en concurrence : dans l’attente d’une délibération qui pourra</w:t>
      </w:r>
      <w:r w:rsidR="00FA7F94">
        <w:t>it</w:t>
      </w:r>
      <w:r>
        <w:t xml:space="preserve"> être prise après le 20 août 2021, une l</w:t>
      </w:r>
      <w:r w:rsidR="002F2530">
        <w:t>ettre d’intention pour participer à la mise en concurrence</w:t>
      </w:r>
    </w:p>
    <w:p w:rsidR="00FA7F94" w:rsidRDefault="00FC26DF" w:rsidP="0002194E">
      <w:pPr>
        <w:pStyle w:val="Paragraphedeliste"/>
        <w:numPr>
          <w:ilvl w:val="0"/>
          <w:numId w:val="1"/>
        </w:numPr>
        <w:spacing w:after="0"/>
        <w:jc w:val="both"/>
        <w:rPr>
          <w:i/>
        </w:rPr>
      </w:pPr>
      <w:r>
        <w:t>un i</w:t>
      </w:r>
      <w:r w:rsidR="0002194E">
        <w:t>mprimé de production des statistiques de sinistralité (</w:t>
      </w:r>
      <w:r w:rsidR="0002194E" w:rsidRPr="00FA7F94">
        <w:rPr>
          <w:i/>
        </w:rPr>
        <w:t>uniquement pour les structures non adhérentes au contrat-groupe en cours et dont le nombre d’agents affiliés à la CNRACL est supérieur à 30</w:t>
      </w:r>
      <w:r w:rsidR="00197FAD" w:rsidRPr="00FA7F94">
        <w:rPr>
          <w:i/>
        </w:rPr>
        <w:t>)</w:t>
      </w:r>
    </w:p>
    <w:p w:rsidR="0002194E" w:rsidRPr="00FA7F94" w:rsidRDefault="00FC26DF" w:rsidP="0002194E">
      <w:pPr>
        <w:pStyle w:val="Paragraphedeliste"/>
        <w:numPr>
          <w:ilvl w:val="0"/>
          <w:numId w:val="1"/>
        </w:numPr>
        <w:spacing w:after="0"/>
        <w:jc w:val="both"/>
        <w:rPr>
          <w:i/>
        </w:rPr>
      </w:pPr>
      <w:r>
        <w:t>un i</w:t>
      </w:r>
      <w:r w:rsidR="00FA7F94">
        <w:t xml:space="preserve">mprimé </w:t>
      </w:r>
      <w:r>
        <w:t>d’é</w:t>
      </w:r>
      <w:bookmarkStart w:id="0" w:name="_GoBack"/>
      <w:bookmarkEnd w:id="0"/>
      <w:r w:rsidR="00FA7F94">
        <w:t>tat des effectifs pour les collectivités d’un effectif supérieur à 30 agents CNRA</w:t>
      </w:r>
      <w:r>
        <w:t>C</w:t>
      </w:r>
      <w:r w:rsidR="00FA7F94">
        <w:t>L</w:t>
      </w:r>
      <w:r w:rsidR="0002194E" w:rsidRPr="00FA7F94">
        <w:rPr>
          <w:i/>
        </w:rPr>
        <w:t xml:space="preserve"> </w:t>
      </w:r>
    </w:p>
    <w:p w:rsidR="0002194E" w:rsidRDefault="0002194E" w:rsidP="0002194E">
      <w:pPr>
        <w:spacing w:after="0"/>
        <w:jc w:val="both"/>
      </w:pPr>
    </w:p>
    <w:p w:rsidR="00F8779F" w:rsidRPr="005967C2" w:rsidRDefault="00F8779F" w:rsidP="0002194E">
      <w:pPr>
        <w:spacing w:after="0"/>
        <w:jc w:val="both"/>
        <w:rPr>
          <w:i/>
          <w:color w:val="1F497D" w:themeColor="text2"/>
        </w:rPr>
      </w:pPr>
      <w:r>
        <w:t>Des modèles de document sont à disposition sur le site internet du CDG31 à</w:t>
      </w:r>
      <w:r w:rsidR="00C03220">
        <w:t xml:space="preserve"> la rubrique</w:t>
      </w:r>
      <w:r>
        <w:t xml:space="preserve"> </w:t>
      </w:r>
      <w:r w:rsidRPr="005967C2">
        <w:rPr>
          <w:i/>
          <w:color w:val="1F497D" w:themeColor="text2"/>
        </w:rPr>
        <w:t>Vous gérez les RH/Assurer les risques statutaires</w:t>
      </w:r>
      <w:r w:rsidR="00C03220" w:rsidRPr="005967C2">
        <w:rPr>
          <w:i/>
          <w:color w:val="1F497D" w:themeColor="text2"/>
        </w:rPr>
        <w:t>/ Participer à la mise en concurrence 2021</w:t>
      </w:r>
    </w:p>
    <w:p w:rsidR="00564581" w:rsidRDefault="00564581" w:rsidP="0002194E">
      <w:pPr>
        <w:spacing w:after="0"/>
        <w:jc w:val="both"/>
      </w:pPr>
    </w:p>
    <w:p w:rsidR="00564581" w:rsidRDefault="00564581" w:rsidP="0002194E">
      <w:pPr>
        <w:spacing w:after="0"/>
        <w:jc w:val="both"/>
      </w:pPr>
    </w:p>
    <w:p w:rsidR="00564581" w:rsidRPr="00564581" w:rsidRDefault="00564581" w:rsidP="0002194E">
      <w:pPr>
        <w:spacing w:after="0"/>
        <w:jc w:val="both"/>
        <w:rPr>
          <w:b/>
        </w:rPr>
      </w:pPr>
      <w:r w:rsidRPr="00564581">
        <w:rPr>
          <w:b/>
        </w:rPr>
        <w:t>Pour se renseigner ?</w:t>
      </w:r>
    </w:p>
    <w:p w:rsidR="0002194E" w:rsidRDefault="0002194E" w:rsidP="0002194E">
      <w:pPr>
        <w:spacing w:after="0"/>
        <w:jc w:val="both"/>
      </w:pPr>
    </w:p>
    <w:p w:rsidR="00564581" w:rsidRDefault="0002194E" w:rsidP="00CA60E6">
      <w:pPr>
        <w:spacing w:after="0"/>
        <w:jc w:val="center"/>
      </w:pPr>
      <w:r>
        <w:t xml:space="preserve">Service </w:t>
      </w:r>
      <w:r w:rsidR="00B86440">
        <w:t>C</w:t>
      </w:r>
      <w:r>
        <w:t>ontrat</w:t>
      </w:r>
      <w:r w:rsidR="00827DC7">
        <w:t>s</w:t>
      </w:r>
      <w:r w:rsidR="00B86440">
        <w:t xml:space="preserve"> </w:t>
      </w:r>
      <w:r w:rsidR="00827DC7">
        <w:t>G</w:t>
      </w:r>
      <w:r>
        <w:t>roupe CDG31</w:t>
      </w:r>
    </w:p>
    <w:p w:rsidR="00564581" w:rsidRDefault="00FC26DF" w:rsidP="00CA60E6">
      <w:pPr>
        <w:spacing w:after="0"/>
        <w:jc w:val="center"/>
      </w:pPr>
      <w:hyperlink r:id="rId10" w:history="1">
        <w:r w:rsidR="0002194E" w:rsidRPr="00D61295">
          <w:rPr>
            <w:rStyle w:val="Lienhypertexte"/>
          </w:rPr>
          <w:t>assurance@cdg31.fr</w:t>
        </w:r>
      </w:hyperlink>
    </w:p>
    <w:p w:rsidR="00564581" w:rsidRDefault="00564581" w:rsidP="00CA60E6">
      <w:pPr>
        <w:spacing w:after="0"/>
        <w:jc w:val="center"/>
      </w:pPr>
    </w:p>
    <w:p w:rsidR="00564581" w:rsidRDefault="00A92A3B" w:rsidP="00CA60E6">
      <w:pPr>
        <w:spacing w:after="0"/>
        <w:jc w:val="center"/>
      </w:pPr>
      <w:r>
        <w:t>Myriam RIVALS (05 81 91 94 09)</w:t>
      </w:r>
    </w:p>
    <w:p w:rsidR="00691809" w:rsidRDefault="00A92A3B" w:rsidP="00CA60E6">
      <w:pPr>
        <w:spacing w:after="0"/>
        <w:jc w:val="center"/>
      </w:pPr>
      <w:r>
        <w:t>Julie ORLIAC (05 81 91 93 92)</w:t>
      </w:r>
    </w:p>
    <w:sectPr w:rsidR="00691809" w:rsidSect="00827DC7">
      <w:footerReference w:type="default" r:id="rId11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8A" w:rsidRDefault="0043408A" w:rsidP="0043408A">
      <w:pPr>
        <w:spacing w:after="0" w:line="240" w:lineRule="auto"/>
      </w:pPr>
      <w:r>
        <w:separator/>
      </w:r>
    </w:p>
  </w:endnote>
  <w:endnote w:type="continuationSeparator" w:id="0">
    <w:p w:rsidR="0043408A" w:rsidRDefault="0043408A" w:rsidP="0043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307433"/>
      <w:docPartObj>
        <w:docPartGallery w:val="Page Numbers (Bottom of Page)"/>
        <w:docPartUnique/>
      </w:docPartObj>
    </w:sdtPr>
    <w:sdtEndPr/>
    <w:sdtContent>
      <w:p w:rsidR="0043408A" w:rsidRDefault="0043408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6D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43408A" w:rsidRDefault="004340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8A" w:rsidRDefault="0043408A" w:rsidP="0043408A">
      <w:pPr>
        <w:spacing w:after="0" w:line="240" w:lineRule="auto"/>
      </w:pPr>
      <w:r>
        <w:separator/>
      </w:r>
    </w:p>
  </w:footnote>
  <w:footnote w:type="continuationSeparator" w:id="0">
    <w:p w:rsidR="0043408A" w:rsidRDefault="0043408A" w:rsidP="0043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0DA2"/>
    <w:multiLevelType w:val="hybridMultilevel"/>
    <w:tmpl w:val="2FCC05E0"/>
    <w:lvl w:ilvl="0" w:tplc="B30698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5561EB"/>
    <w:multiLevelType w:val="hybridMultilevel"/>
    <w:tmpl w:val="1CCAEB3A"/>
    <w:lvl w:ilvl="0" w:tplc="7E90DC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4E"/>
    <w:rsid w:val="0002194E"/>
    <w:rsid w:val="000B05A7"/>
    <w:rsid w:val="000E378E"/>
    <w:rsid w:val="001653D8"/>
    <w:rsid w:val="00171F76"/>
    <w:rsid w:val="00197FAD"/>
    <w:rsid w:val="0026761B"/>
    <w:rsid w:val="002F2530"/>
    <w:rsid w:val="00336E90"/>
    <w:rsid w:val="00384028"/>
    <w:rsid w:val="0043408A"/>
    <w:rsid w:val="00564581"/>
    <w:rsid w:val="00580567"/>
    <w:rsid w:val="005967C2"/>
    <w:rsid w:val="005D30D8"/>
    <w:rsid w:val="00602E0F"/>
    <w:rsid w:val="00691809"/>
    <w:rsid w:val="00697C31"/>
    <w:rsid w:val="006A1552"/>
    <w:rsid w:val="006B65F8"/>
    <w:rsid w:val="006F4144"/>
    <w:rsid w:val="008156FD"/>
    <w:rsid w:val="00827DC7"/>
    <w:rsid w:val="00835436"/>
    <w:rsid w:val="009E4383"/>
    <w:rsid w:val="00A2710F"/>
    <w:rsid w:val="00A65BE3"/>
    <w:rsid w:val="00A92A3B"/>
    <w:rsid w:val="00AD0B8E"/>
    <w:rsid w:val="00B7300E"/>
    <w:rsid w:val="00B86440"/>
    <w:rsid w:val="00C03220"/>
    <w:rsid w:val="00C6430E"/>
    <w:rsid w:val="00CA60E6"/>
    <w:rsid w:val="00CC2D28"/>
    <w:rsid w:val="00CD0B56"/>
    <w:rsid w:val="00DB7472"/>
    <w:rsid w:val="00DD404D"/>
    <w:rsid w:val="00E2203D"/>
    <w:rsid w:val="00E73434"/>
    <w:rsid w:val="00F8779F"/>
    <w:rsid w:val="00FA7F94"/>
    <w:rsid w:val="00F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19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194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5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08A"/>
  </w:style>
  <w:style w:type="paragraph" w:styleId="Pieddepage">
    <w:name w:val="footer"/>
    <w:basedOn w:val="Normal"/>
    <w:link w:val="PieddepageCar"/>
    <w:uiPriority w:val="99"/>
    <w:unhideWhenUsed/>
    <w:rsid w:val="004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194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194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5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08A"/>
  </w:style>
  <w:style w:type="paragraph" w:styleId="Pieddepage">
    <w:name w:val="footer"/>
    <w:basedOn w:val="Normal"/>
    <w:link w:val="PieddepageCar"/>
    <w:uiPriority w:val="99"/>
    <w:unhideWhenUsed/>
    <w:rsid w:val="0043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ssurance@cdg31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urance@cdg3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PAYET Denis</dc:creator>
  <cp:lastModifiedBy>MAZEL-RASSAT Mireille</cp:lastModifiedBy>
  <cp:revision>3</cp:revision>
  <cp:lastPrinted>2021-06-30T12:30:00Z</cp:lastPrinted>
  <dcterms:created xsi:type="dcterms:W3CDTF">2021-07-02T12:51:00Z</dcterms:created>
  <dcterms:modified xsi:type="dcterms:W3CDTF">2021-07-07T15:11:00Z</dcterms:modified>
</cp:coreProperties>
</file>