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rsidR="00CA7CEC" w:rsidRPr="00CA7CEC" w:rsidRDefault="00CA7CEC" w:rsidP="00CA7CEC">
      <w:pPr>
        <w:numPr>
          <w:ilvl w:val="0"/>
          <w:numId w:val="7"/>
        </w:numPr>
        <w:rPr>
          <w:rFonts w:ascii="Calibri" w:hAnsi="Calibri" w:cs="Calibri"/>
          <w:sz w:val="18"/>
          <w:szCs w:val="18"/>
        </w:rPr>
      </w:pPr>
      <w:r w:rsidRPr="00CA7CEC">
        <w:rPr>
          <w:rFonts w:ascii="Calibri" w:hAnsi="Calibri" w:cs="Calibri"/>
          <w:sz w:val="18"/>
          <w:szCs w:val="18"/>
        </w:rPr>
        <w:t>ce contrat cor</w:t>
      </w:r>
      <w:r w:rsidR="008D5571">
        <w:rPr>
          <w:rFonts w:ascii="Calibri" w:hAnsi="Calibri" w:cs="Calibri"/>
          <w:sz w:val="18"/>
          <w:szCs w:val="18"/>
        </w:rPr>
        <w:t>respond à l’ancien article 3-3.</w:t>
      </w:r>
      <w:r w:rsidR="00137BD6">
        <w:rPr>
          <w:rFonts w:ascii="Calibri" w:hAnsi="Calibri" w:cs="Calibri"/>
          <w:sz w:val="18"/>
          <w:szCs w:val="18"/>
        </w:rPr>
        <w:t>4°</w:t>
      </w:r>
      <w:r w:rsidR="00BB67DA">
        <w:rPr>
          <w:rFonts w:ascii="Calibri" w:hAnsi="Calibri" w:cs="Calibri"/>
          <w:sz w:val="18"/>
          <w:szCs w:val="18"/>
        </w:rPr>
        <w:t xml:space="preserve"> </w:t>
      </w:r>
      <w:r w:rsidRPr="00CA7CEC">
        <w:rPr>
          <w:rFonts w:ascii="Calibri" w:hAnsi="Calibri" w:cs="Calibri"/>
          <w:sz w:val="18"/>
          <w:szCs w:val="18"/>
        </w:rPr>
        <w:t xml:space="preserve">de la loi n° 84-53 du 26 janvier 1984 portant dispositions statutaires relatives à la fonction publique territoriale, abrogée le 1er mars 2022 ; </w:t>
      </w:r>
    </w:p>
    <w:p w:rsidR="00594435" w:rsidRPr="00594435" w:rsidRDefault="00594435" w:rsidP="00594435">
      <w:pPr>
        <w:numPr>
          <w:ilvl w:val="0"/>
          <w:numId w:val="7"/>
        </w:numPr>
        <w:rPr>
          <w:rFonts w:ascii="Calibri" w:hAnsi="Calibri" w:cs="Calibri"/>
          <w:sz w:val="18"/>
          <w:szCs w:val="18"/>
        </w:rPr>
      </w:pPr>
      <w:r w:rsidRPr="00594435">
        <w:rPr>
          <w:rFonts w:ascii="Calibri" w:hAnsi="Calibri" w:cs="Calibri"/>
          <w:sz w:val="18"/>
          <w:szCs w:val="18"/>
        </w:rPr>
        <w:t xml:space="preserve">la durée hebdomadaire de temps de travail est obligatoirement inférieure à 17h30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la délibération créant le poste doit préciser le grade, indiquer que l'emploi peut être pourvu par un agent contractuel et mentionner le motif invoqué, la nature des fonctions, le niveau de recrutement et la rémunération de l’emploi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ce contrat concerne tous les emplois de catégories A, B et C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la durée totale des contrats successifs en CDD ne doit pas excéder 6 ans ; </w:t>
      </w:r>
    </w:p>
    <w:p w:rsidR="00594435" w:rsidRPr="00594435" w:rsidRDefault="00594435" w:rsidP="00594435">
      <w:pPr>
        <w:numPr>
          <w:ilvl w:val="0"/>
          <w:numId w:val="7"/>
        </w:numPr>
        <w:pBdr>
          <w:bottom w:val="single" w:sz="4" w:space="1" w:color="auto"/>
        </w:pBdr>
        <w:rPr>
          <w:rFonts w:ascii="Calibri" w:hAnsi="Calibri" w:cs="Calibri"/>
          <w:sz w:val="18"/>
          <w:szCs w:val="18"/>
        </w:rPr>
      </w:pPr>
      <w:r>
        <w:rPr>
          <w:rFonts w:ascii="Calibri" w:hAnsi="Calibri" w:cs="Calibri"/>
          <w:sz w:val="18"/>
          <w:szCs w:val="18"/>
        </w:rPr>
        <w:t>l</w:t>
      </w:r>
      <w:r w:rsidRPr="00594435">
        <w:rPr>
          <w:rFonts w:ascii="Calibri" w:hAnsi="Calibri" w:cs="Calibri"/>
          <w:sz w:val="18"/>
          <w:szCs w:val="18"/>
        </w:rPr>
        <w:t xml:space="preserve">’avis de vacance ou de création publié par l’autorité est accompagné d’une fiche de poste dont les mentions sont fixées par le décret n° 2019-1414 du 19 décembre 2019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rsidR="00594435" w:rsidRPr="00594435" w:rsidRDefault="00594435" w:rsidP="00594435">
      <w:pPr>
        <w:numPr>
          <w:ilvl w:val="0"/>
          <w:numId w:val="7"/>
        </w:numPr>
        <w:pBdr>
          <w:bottom w:val="single" w:sz="4" w:space="1" w:color="auto"/>
        </w:pBdr>
        <w:rPr>
          <w:rFonts w:ascii="Calibri" w:hAnsi="Calibri" w:cs="Calibri"/>
          <w:sz w:val="18"/>
          <w:szCs w:val="18"/>
        </w:rPr>
      </w:pPr>
      <w:r>
        <w:rPr>
          <w:rFonts w:ascii="Calibri" w:hAnsi="Calibri" w:cs="Calibri"/>
          <w:sz w:val="18"/>
          <w:szCs w:val="18"/>
        </w:rPr>
        <w:t>l</w:t>
      </w:r>
      <w:r w:rsidRPr="00594435">
        <w:rPr>
          <w:rFonts w:ascii="Calibri" w:hAnsi="Calibri" w:cs="Calibri"/>
          <w:sz w:val="18"/>
          <w:szCs w:val="18"/>
        </w:rPr>
        <w:t xml:space="preserve">es candidats présélectionnés sont convoqués à un ou plusieurs entretiens de recrutement conduits par une ou plusieurs personnes relevant de l'autorité territoriale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rsidR="00594435"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rsidR="00A4180B" w:rsidRPr="00594435" w:rsidRDefault="00594435" w:rsidP="00594435">
      <w:pPr>
        <w:numPr>
          <w:ilvl w:val="0"/>
          <w:numId w:val="7"/>
        </w:numPr>
        <w:pBdr>
          <w:bottom w:val="single" w:sz="4" w:space="1" w:color="auto"/>
        </w:pBdr>
        <w:rPr>
          <w:rFonts w:ascii="Calibri" w:hAnsi="Calibri" w:cs="Calibri"/>
          <w:sz w:val="18"/>
          <w:szCs w:val="18"/>
        </w:rPr>
      </w:pPr>
      <w:r w:rsidRPr="00594435">
        <w:rPr>
          <w:rFonts w:ascii="Calibri" w:hAnsi="Calibri" w:cs="Calibri"/>
          <w:sz w:val="18"/>
          <w:szCs w:val="18"/>
        </w:rPr>
        <w:t>sont également annexés au contrat les certificats de travail délivrés par les collectivités territoriales et leurs établissements.</w:t>
      </w:r>
    </w:p>
    <w:p w:rsidR="00BB67DA" w:rsidRDefault="00BB67DA">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Contrat de droit public à durée déterminée</w:t>
      </w:r>
    </w:p>
    <w:p w:rsidR="00594435" w:rsidRPr="00A4180B" w:rsidRDefault="00F7337A" w:rsidP="00594435">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8D5571">
        <w:rPr>
          <w:b w:val="0"/>
        </w:rPr>
        <w:t>L. 332-8.</w:t>
      </w:r>
      <w:r w:rsidR="00137BD6">
        <w:rPr>
          <w:b w:val="0"/>
        </w:rPr>
        <w:t>5</w:t>
      </w:r>
      <w:r w:rsidR="00BB67DA" w:rsidRPr="00F36660">
        <w:rPr>
          <w:b w:val="0"/>
        </w:rPr>
        <w:t xml:space="preserve"> </w:t>
      </w:r>
      <w:r w:rsidR="00F36660" w:rsidRPr="00F36660">
        <w:rPr>
          <w:b w:val="0"/>
        </w:rPr>
        <w:t>°</w:t>
      </w:r>
      <w:r w:rsidR="00F36660">
        <w:rPr>
          <w:b w:val="0"/>
        </w:rPr>
        <w:t xml:space="preserve">du code général de la fonction publique, </w:t>
      </w:r>
      <w:r w:rsidR="00594435" w:rsidRPr="00594435">
        <w:t>pour tous les emplois à temps non complet des collectivités territoriales et établissements, lorsque la quotité de temps de travail est inférieure à 17h30</w:t>
      </w:r>
    </w:p>
    <w:p w:rsidR="00CA7CEC" w:rsidRPr="00603CB7" w:rsidRDefault="00CA7CEC" w:rsidP="00CA7CEC">
      <w:pPr>
        <w:pStyle w:val="titregrasencadr"/>
        <w:rPr>
          <w:b w:val="0"/>
        </w:rP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8D5571">
        <w:rPr>
          <w:rFonts w:asciiTheme="minorHAnsi" w:hAnsiTheme="minorHAnsi" w:cstheme="minorHAnsi"/>
          <w:sz w:val="22"/>
          <w:szCs w:val="22"/>
        </w:rPr>
        <w:t>L. 332-8.</w:t>
      </w:r>
      <w:r w:rsidR="00137BD6">
        <w:rPr>
          <w:rFonts w:asciiTheme="minorHAnsi" w:hAnsiTheme="minorHAnsi" w:cstheme="minorHAnsi"/>
          <w:sz w:val="22"/>
          <w:szCs w:val="22"/>
        </w:rPr>
        <w:t>5</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545301" w:rsidRPr="00F36660" w:rsidRDefault="00545301" w:rsidP="00F36660">
      <w:pPr>
        <w:rPr>
          <w:rFonts w:asciiTheme="minorHAnsi" w:hAnsiTheme="minorHAnsi" w:cstheme="minorHAnsi"/>
          <w:sz w:val="22"/>
          <w:szCs w:val="22"/>
        </w:rPr>
      </w:pPr>
      <w:r>
        <w:rPr>
          <w:rFonts w:asciiTheme="minorHAnsi" w:hAnsiTheme="minorHAnsi" w:cstheme="minorHAnsi"/>
          <w:sz w:val="22"/>
          <w:szCs w:val="22"/>
        </w:rPr>
        <w:t xml:space="preserve">Vu le décret </w:t>
      </w:r>
      <w:r w:rsidRPr="00545301">
        <w:rPr>
          <w:rFonts w:asciiTheme="minorHAnsi" w:hAnsiTheme="minorHAnsi" w:cstheme="minorHAnsi"/>
          <w:sz w:val="22"/>
          <w:szCs w:val="22"/>
        </w:rPr>
        <w:t>n°</w:t>
      </w:r>
      <w:r>
        <w:rPr>
          <w:rFonts w:asciiTheme="minorHAnsi" w:hAnsiTheme="minorHAnsi" w:cstheme="minorHAnsi"/>
          <w:sz w:val="22"/>
          <w:szCs w:val="22"/>
        </w:rPr>
        <w:t xml:space="preserve"> </w:t>
      </w:r>
      <w:r w:rsidRPr="00545301">
        <w:rPr>
          <w:rFonts w:asciiTheme="minorHAnsi" w:hAnsiTheme="minorHAnsi" w:cstheme="minorHAnsi"/>
          <w:sz w:val="22"/>
          <w:szCs w:val="22"/>
        </w:rPr>
        <w:t>91-298 du 20 mars 1991 portant dispositions statutaires applicables aux fonctionnaires territoriaux nommés dans des emplois permanents à temps non complet</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Vu le décret n° 2019-1414 du 19 décembre 2019 relatif à la procédure de recrutement pour pourvoir les emplois permanents de la fonction publique ouverts aux agents contractuels ; </w:t>
      </w:r>
    </w:p>
    <w:p w:rsidR="00594435" w:rsidRDefault="00594435" w:rsidP="00F36660">
      <w:pPr>
        <w:rPr>
          <w:rFonts w:asciiTheme="minorHAnsi" w:hAnsiTheme="minorHAnsi" w:cstheme="minorHAnsi"/>
          <w:sz w:val="22"/>
          <w:szCs w:val="22"/>
        </w:rPr>
      </w:pPr>
    </w:p>
    <w:p w:rsidR="007015DE" w:rsidRPr="007015DE" w:rsidRDefault="007015DE"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délibération en date du </w:t>
      </w:r>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w:t>
      </w:r>
      <w:proofErr w:type="gramStart"/>
      <w:r w:rsidRPr="007015DE">
        <w:rPr>
          <w:rFonts w:asciiTheme="minorHAnsi" w:hAnsiTheme="minorHAnsi" w:cstheme="minorHAnsi"/>
          <w:sz w:val="22"/>
          <w:szCs w:val="22"/>
        </w:rPr>
        <w:t>créant</w:t>
      </w:r>
      <w:proofErr w:type="gramEnd"/>
      <w:r w:rsidRPr="007015DE">
        <w:rPr>
          <w:rFonts w:asciiTheme="minorHAnsi" w:hAnsiTheme="minorHAnsi" w:cstheme="minorHAnsi"/>
          <w:sz w:val="22"/>
          <w:szCs w:val="22"/>
        </w:rPr>
        <w:t xml:space="preserve"> l’emploi à temps non complet de</w:t>
      </w:r>
      <w:r w:rsidRPr="007015DE">
        <w:rPr>
          <w:rFonts w:asciiTheme="minorHAnsi" w:hAnsiTheme="minorHAnsi" w:cstheme="minorHAnsi"/>
          <w:sz w:val="22"/>
          <w:szCs w:val="22"/>
          <w:highlight w:val="yellow"/>
        </w:rPr>
        <w:t>...................... (</w:t>
      </w:r>
      <w:proofErr w:type="gramStart"/>
      <w:r w:rsidRPr="007015DE">
        <w:rPr>
          <w:rFonts w:asciiTheme="minorHAnsi" w:hAnsiTheme="minorHAnsi" w:cstheme="minorHAnsi"/>
          <w:sz w:val="22"/>
          <w:szCs w:val="22"/>
          <w:highlight w:val="yellow"/>
        </w:rPr>
        <w:t>obligatoirement</w:t>
      </w:r>
      <w:proofErr w:type="gramEnd"/>
      <w:r w:rsidRPr="007015DE">
        <w:rPr>
          <w:rFonts w:asciiTheme="minorHAnsi" w:hAnsiTheme="minorHAnsi" w:cstheme="minorHAnsi"/>
          <w:sz w:val="22"/>
          <w:szCs w:val="22"/>
          <w:highlight w:val="yellow"/>
        </w:rPr>
        <w:t xml:space="preserve"> inférieur à 17h30)</w:t>
      </w:r>
    </w:p>
    <w:p w:rsidR="00F36660" w:rsidRPr="007015DE" w:rsidRDefault="00F36660"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w:t>
      </w:r>
      <w:r w:rsidRPr="007015DE">
        <w:rPr>
          <w:rFonts w:asciiTheme="minorHAnsi" w:hAnsiTheme="minorHAnsi" w:cstheme="minorHAnsi"/>
          <w:sz w:val="22"/>
          <w:szCs w:val="22"/>
          <w:highlight w:val="yellow"/>
        </w:rPr>
        <w:t>déclaration de vacance ou de création d’emploi</w:t>
      </w:r>
      <w:r w:rsidRPr="007015DE">
        <w:rPr>
          <w:rFonts w:asciiTheme="minorHAnsi" w:hAnsiTheme="minorHAnsi" w:cstheme="minorHAnsi"/>
          <w:sz w:val="22"/>
          <w:szCs w:val="22"/>
        </w:rPr>
        <w:t xml:space="preserve"> auprès du Centre de gestion enregistrée sous le </w:t>
      </w:r>
      <w:r w:rsidR="00E7186E" w:rsidRPr="007015DE">
        <w:rPr>
          <w:rFonts w:asciiTheme="minorHAnsi" w:hAnsiTheme="minorHAnsi" w:cstheme="minorHAnsi"/>
          <w:sz w:val="22"/>
          <w:szCs w:val="22"/>
          <w:highlight w:val="yellow"/>
        </w:rPr>
        <w:t>n°……</w:t>
      </w:r>
      <w:r w:rsidR="00E7186E" w:rsidRPr="007015DE">
        <w:rPr>
          <w:rFonts w:asciiTheme="minorHAnsi" w:hAnsiTheme="minorHAnsi" w:cstheme="minorHAnsi"/>
          <w:sz w:val="22"/>
          <w:szCs w:val="22"/>
        </w:rPr>
        <w:t>…….</w:t>
      </w:r>
    </w:p>
    <w:p w:rsidR="00594435" w:rsidRPr="007015DE" w:rsidRDefault="00594435" w:rsidP="00E7321A">
      <w:pPr>
        <w:rPr>
          <w:rFonts w:asciiTheme="minorHAnsi" w:hAnsiTheme="minorHAnsi" w:cstheme="minorHAnsi"/>
          <w:sz w:val="22"/>
          <w:szCs w:val="22"/>
        </w:rPr>
      </w:pPr>
    </w:p>
    <w:p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highlight w:val="yellow"/>
        </w:rPr>
        <w:t>(Eventuellement)</w:t>
      </w:r>
      <w:r w:rsidRPr="007015DE">
        <w:rPr>
          <w:rFonts w:asciiTheme="minorHAnsi" w:hAnsiTheme="minorHAnsi" w:cstheme="minorHAnsi"/>
          <w:sz w:val="22"/>
          <w:szCs w:val="22"/>
        </w:rPr>
        <w:t xml:space="preserve"> Vu la candidature de </w:t>
      </w:r>
      <w:r w:rsidRPr="007015DE">
        <w:rPr>
          <w:rFonts w:asciiTheme="minorHAnsi" w:hAnsiTheme="minorHAnsi" w:cstheme="minorHAnsi"/>
          <w:sz w:val="22"/>
          <w:szCs w:val="22"/>
          <w:highlight w:val="yellow"/>
        </w:rPr>
        <w:t>M…</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xml:space="preserve"> titulaire du diplôme</w:t>
      </w:r>
      <w:r w:rsidRPr="007015DE">
        <w:rPr>
          <w:rFonts w:asciiTheme="minorHAnsi" w:hAnsiTheme="minorHAnsi" w:cstheme="minorHAnsi"/>
          <w:sz w:val="22"/>
          <w:szCs w:val="22"/>
          <w:highlight w:val="yellow"/>
        </w:rPr>
        <w:t>…</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p>
    <w:p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Considérant que l’agent remplit les conditions statutaires de recrutement,</w:t>
      </w:r>
    </w:p>
    <w:p w:rsidR="007015DE" w:rsidRDefault="007015DE" w:rsidP="00594435">
      <w:pPr>
        <w:rPr>
          <w:rFonts w:asciiTheme="minorHAnsi" w:hAnsiTheme="minorHAnsi" w:cstheme="minorHAnsi"/>
          <w:sz w:val="22"/>
          <w:szCs w:val="22"/>
        </w:rPr>
      </w:pPr>
    </w:p>
    <w:p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 xml:space="preserve">Il a été convenu ce qui suit : </w:t>
      </w:r>
    </w:p>
    <w:p w:rsidR="00CA7CEC" w:rsidRDefault="00CA7CEC" w:rsidP="00F36660">
      <w:pPr>
        <w:rPr>
          <w:rFonts w:asciiTheme="minorHAnsi" w:hAnsiTheme="minorHAnsi" w:cstheme="minorHAnsi"/>
          <w:sz w:val="22"/>
          <w:szCs w:val="22"/>
        </w:rPr>
      </w:pPr>
    </w:p>
    <w:p w:rsidR="00CA7CEC" w:rsidRPr="00F36660" w:rsidRDefault="00CA7CEC" w:rsidP="00F36660">
      <w:pPr>
        <w:rPr>
          <w:rFonts w:asciiTheme="minorHAnsi" w:hAnsiTheme="minorHAnsi" w:cstheme="minorHAnsi"/>
          <w:sz w:val="22"/>
          <w:szCs w:val="22"/>
        </w:rPr>
      </w:pPr>
    </w:p>
    <w:p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proofErr w:type="gramStart"/>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w:t>
      </w:r>
      <w:proofErr w:type="gramStart"/>
      <w:r w:rsidRPr="00CA7CEC">
        <w:rPr>
          <w:rFonts w:asciiTheme="minorHAnsi" w:hAnsiTheme="minorHAnsi" w:cstheme="minorHAnsi"/>
          <w:sz w:val="22"/>
          <w:szCs w:val="22"/>
          <w:highlight w:val="yellow"/>
        </w:rPr>
        <w:t>définition</w:t>
      </w:r>
      <w:proofErr w:type="gramEnd"/>
      <w:r w:rsidRPr="00CA7CEC">
        <w:rPr>
          <w:rFonts w:asciiTheme="minorHAnsi" w:hAnsiTheme="minorHAnsi" w:cstheme="minorHAnsi"/>
          <w:sz w:val="22"/>
          <w:szCs w:val="22"/>
          <w:highlight w:val="yellow"/>
        </w:rPr>
        <w:t xml:space="preserve"> du poste occupé).</w:t>
      </w:r>
      <w:r w:rsidRPr="00F36660">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proofErr w:type="gramStart"/>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w:t>
      </w:r>
      <w:proofErr w:type="gramStart"/>
      <w:r w:rsidRPr="00F36660">
        <w:rPr>
          <w:rFonts w:asciiTheme="minorHAnsi" w:hAnsiTheme="minorHAnsi" w:cstheme="minorHAnsi"/>
          <w:sz w:val="22"/>
          <w:szCs w:val="22"/>
        </w:rPr>
        <w:t xml:space="preserve">à </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Les conditions d’emplois de M. sont les suivantes : </w:t>
      </w:r>
      <w:r w:rsidRPr="00CA7CEC">
        <w:rPr>
          <w:rFonts w:asciiTheme="minorHAnsi" w:hAnsiTheme="minorHAnsi" w:cstheme="minorHAnsi"/>
          <w:sz w:val="22"/>
          <w:szCs w:val="22"/>
          <w:highlight w:val="yellow"/>
        </w:rPr>
        <w:t>………….</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Dans le respect de la règlementation en vigueur, </w:t>
      </w:r>
      <w:r w:rsidRPr="00CA7CEC">
        <w:rPr>
          <w:rFonts w:asciiTheme="minorHAnsi" w:hAnsiTheme="minorHAnsi" w:cstheme="minorHAnsi"/>
          <w:sz w:val="22"/>
          <w:szCs w:val="22"/>
          <w:highlight w:val="yellow"/>
        </w:rPr>
        <w:t>M………………….</w:t>
      </w:r>
      <w:r w:rsidRPr="00F36660">
        <w:rPr>
          <w:rFonts w:asciiTheme="minorHAnsi" w:hAnsiTheme="minorHAnsi" w:cstheme="minorHAnsi"/>
          <w:sz w:val="22"/>
          <w:szCs w:val="22"/>
        </w:rPr>
        <w:t>peut être amené(e) à effectuer des heures supplémentaires et/ou complémentaires, à la demande de l’autorité territoriale.</w:t>
      </w:r>
    </w:p>
    <w:p w:rsidR="00F36660" w:rsidRDefault="00F36660" w:rsidP="00F36660">
      <w:pPr>
        <w:rPr>
          <w:rFonts w:asciiTheme="minorHAnsi" w:hAnsiTheme="minorHAnsi" w:cstheme="minorHAnsi"/>
          <w:sz w:val="22"/>
          <w:szCs w:val="22"/>
        </w:rPr>
      </w:pPr>
    </w:p>
    <w:p w:rsidR="00CA7CEC" w:rsidRPr="00F36660" w:rsidRDefault="00CA7CEC" w:rsidP="00F36660">
      <w:pPr>
        <w:rPr>
          <w:rFonts w:asciiTheme="minorHAnsi" w:hAnsiTheme="minorHAnsi" w:cstheme="minorHAnsi"/>
          <w:sz w:val="22"/>
          <w:szCs w:val="22"/>
        </w:rPr>
      </w:pPr>
    </w:p>
    <w:p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2 </w:t>
      </w:r>
    </w:p>
    <w:p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w:t>
      </w:r>
      <w:proofErr w:type="gramStart"/>
      <w:r w:rsidRPr="00D023AB">
        <w:rPr>
          <w:rFonts w:asciiTheme="minorHAnsi" w:hAnsiTheme="minorHAnsi" w:cstheme="minorHAnsi"/>
          <w:sz w:val="22"/>
          <w:szCs w:val="22"/>
          <w:highlight w:val="yellow"/>
        </w:rPr>
        <w:t>la</w:t>
      </w:r>
      <w:proofErr w:type="gramEnd"/>
      <w:r w:rsidRPr="00D023AB">
        <w:rPr>
          <w:rFonts w:asciiTheme="minorHAnsi" w:hAnsiTheme="minorHAnsi" w:cstheme="minorHAnsi"/>
          <w:sz w:val="22"/>
          <w:szCs w:val="22"/>
          <w:highlight w:val="yellow"/>
        </w:rPr>
        <w:t xml:space="preserve"> période d'essai peut être renouvelée une fois pour une durée au plus égale à sa durée initiale).</w:t>
      </w:r>
      <w:r w:rsidRPr="00F36660">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semaines lorsque la durée initialement prévue au contrat est inférieure à six mois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d'un mois lorsque la durée initialement prévue au contrat est inférieure à un an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deux mois lorsque la durée initialement prévue au contrat est inférieure à deux ans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mois lorsque la durée initialement prévue au contrat est égale ou supérieure à deux ans ;</w:t>
      </w:r>
    </w:p>
    <w:p w:rsidR="00F36660" w:rsidRPr="00F36660" w:rsidRDefault="00F36660" w:rsidP="00F36660">
      <w:pPr>
        <w:rPr>
          <w:rFonts w:asciiTheme="minorHAnsi" w:hAnsiTheme="minorHAnsi" w:cstheme="minorHAnsi"/>
          <w:sz w:val="22"/>
          <w:szCs w:val="22"/>
        </w:rPr>
      </w:pPr>
    </w:p>
    <w:p w:rsidR="007015DE" w:rsidRDefault="007015DE"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3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00B244C8">
        <w:rPr>
          <w:rFonts w:asciiTheme="minorHAnsi" w:hAnsiTheme="minorHAnsi" w:cstheme="minorHAnsi"/>
          <w:sz w:val="22"/>
          <w:szCs w:val="22"/>
          <w:highlight w:val="yellow"/>
        </w:rPr>
        <w:t>......................</w:t>
      </w:r>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percevra le traitement afférent au </w:t>
      </w:r>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échelon du grade de</w:t>
      </w:r>
      <w:proofErr w:type="gramStart"/>
      <w:r w:rsidRPr="00B244C8">
        <w:rPr>
          <w:rFonts w:asciiTheme="minorHAnsi" w:hAnsiTheme="minorHAnsi" w:cstheme="minorHAnsi"/>
          <w:sz w:val="22"/>
          <w:szCs w:val="22"/>
          <w:highlight w:val="yellow"/>
        </w:rPr>
        <w:t>.....................................(</w:t>
      </w:r>
      <w:proofErr w:type="gramEnd"/>
      <w:r w:rsidRPr="00B244C8">
        <w:rPr>
          <w:rFonts w:asciiTheme="minorHAnsi" w:hAnsiTheme="minorHAnsi" w:cstheme="minorHAnsi"/>
          <w:sz w:val="22"/>
          <w:szCs w:val="22"/>
          <w:highlight w:val="yellow"/>
        </w:rPr>
        <w:t>Indice Brut ...)</w:t>
      </w:r>
      <w:r w:rsidRPr="00F36660">
        <w:rPr>
          <w:rFonts w:asciiTheme="minorHAnsi" w:hAnsiTheme="minorHAnsi" w:cstheme="minorHAnsi"/>
          <w:sz w:val="22"/>
          <w:szCs w:val="22"/>
        </w:rPr>
        <w:t xml:space="preserve"> au prorata du temps travaillé, le supplément familial de traitement, </w:t>
      </w:r>
      <w:r w:rsidRPr="00B244C8">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les primes et indemnités instituées par l’assemblée délibérante.</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4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rémunération de </w:t>
      </w:r>
      <w:r w:rsidRPr="00B244C8">
        <w:rPr>
          <w:rFonts w:asciiTheme="minorHAnsi" w:hAnsiTheme="minorHAnsi" w:cstheme="minorHAnsi"/>
          <w:sz w:val="22"/>
          <w:szCs w:val="22"/>
          <w:highlight w:val="yellow"/>
        </w:rPr>
        <w:t>M …..</w:t>
      </w:r>
      <w:proofErr w:type="gramStart"/>
      <w:r w:rsidRPr="00F36660">
        <w:rPr>
          <w:rFonts w:asciiTheme="minorHAnsi" w:hAnsiTheme="minorHAnsi" w:cstheme="minorHAnsi"/>
          <w:sz w:val="22"/>
          <w:szCs w:val="22"/>
        </w:rPr>
        <w:t>est</w:t>
      </w:r>
      <w:proofErr w:type="gramEnd"/>
      <w:r w:rsidRPr="00F36660">
        <w:rPr>
          <w:rFonts w:asciiTheme="minorHAnsi" w:hAnsiTheme="minorHAnsi" w:cstheme="minorHAnsi"/>
          <w:sz w:val="22"/>
          <w:szCs w:val="22"/>
        </w:rPr>
        <w:t xml:space="preserve"> soumise aux cotisations sociales prévues par le régime général de la Sécurité Sociale.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est affilié(e) à l’IRCANTEC.</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5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6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8 jours avant le terme de l'engagement pour l'agent recruté pour une durée inférieure à six mois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1 mois avant le terme de l'engagement pour l'agent recruté pour une durée égale ou supérieure à six mois et inférieure à deux ans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2 mois avant le terme de l'engagement pour l'agent recruté pour une durée supérieure à deux ans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7 </w:t>
      </w:r>
    </w:p>
    <w:p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rsidR="00B244C8" w:rsidRDefault="00B244C8" w:rsidP="00F36660">
      <w:pPr>
        <w:rPr>
          <w:rFonts w:asciiTheme="minorHAnsi" w:hAnsiTheme="minorHAnsi" w:cstheme="minorHAnsi"/>
          <w:sz w:val="22"/>
          <w:szCs w:val="22"/>
        </w:rPr>
      </w:pPr>
    </w:p>
    <w:p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la collectivité (ou établissement) employeur</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B244C8">
        <w:rPr>
          <w:rFonts w:asciiTheme="minorHAnsi" w:hAnsiTheme="minorHAnsi" w:cstheme="minorHAnsi"/>
          <w:b/>
          <w:sz w:val="22"/>
          <w:szCs w:val="22"/>
        </w:rPr>
        <w:t>M……………….</w:t>
      </w:r>
      <w:r w:rsidRPr="00F36660">
        <w:rPr>
          <w:rFonts w:asciiTheme="minorHAnsi" w:hAnsiTheme="minorHAnsi" w:cstheme="minorHAnsi"/>
          <w:sz w:val="22"/>
          <w:szCs w:val="22"/>
        </w:rPr>
        <w:t>a droit à un préavis d’une durée :</w:t>
      </w:r>
    </w:p>
    <w:p w:rsidR="00F36660"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 xml:space="preserve">de 8 jours si la durée des services est inférieure à 6 mois ; </w:t>
      </w:r>
    </w:p>
    <w:p w:rsidR="00B244C8"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 xml:space="preserve">de 1 mois si la durée des services est comprise entre 6 mois et 2 ans ; </w:t>
      </w:r>
    </w:p>
    <w:p w:rsidR="00F36660"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de 2 mois si la durée des services est d'au moins 2 ans.</w:t>
      </w:r>
    </w:p>
    <w:p w:rsidR="00B244C8" w:rsidRDefault="00B244C8"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rsidR="00F36660" w:rsidRPr="00F36660" w:rsidRDefault="00F36660" w:rsidP="00F36660">
      <w:pPr>
        <w:rPr>
          <w:rFonts w:asciiTheme="minorHAnsi" w:hAnsiTheme="minorHAnsi" w:cstheme="minorHAnsi"/>
          <w:sz w:val="22"/>
          <w:szCs w:val="22"/>
        </w:rPr>
      </w:pPr>
    </w:p>
    <w:p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démission de </w:t>
      </w: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 xml:space="preserve"> doit être clairement exprimée par lettre recommandée avec accusé de réception.</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de 8 jours si la durée des services est inférieure à 6 mois,</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 xml:space="preserve">de 1 mois si la durée des services est comprise entre 6 mois et 2 ans. </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de 2 mois si la durée des services est d'au moins de 2 ans.</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8 </w:t>
      </w:r>
    </w:p>
    <w:p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la date de recrutement de l'agent et celle de fin de contrat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les fonctions occupées par l'agent, la catégorie hiérarchique dont elles relèvent et la durée pendant laquelle elles ont été effectivement exercées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le cas échéant, les périodes de congés non assimilées à des périodes de travail effectif.</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Article 9</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09260D" w:rsidRPr="00C86791" w:rsidRDefault="0009260D" w:rsidP="0009260D">
      <w:pPr>
        <w:ind w:left="5529"/>
        <w:rPr>
          <w:rFonts w:ascii="Calibri" w:hAnsi="Calibri" w:cs="Calibri"/>
          <w:sz w:val="22"/>
          <w:szCs w:val="22"/>
        </w:rPr>
      </w:pPr>
    </w:p>
    <w:p w:rsidR="0009260D" w:rsidRPr="00C86791" w:rsidRDefault="000B7BB3" w:rsidP="0009260D">
      <w:pPr>
        <w:ind w:left="5529"/>
        <w:rPr>
          <w:rFonts w:ascii="Calibri" w:hAnsi="Calibri" w:cs="Calibri"/>
          <w:sz w:val="22"/>
          <w:szCs w:val="22"/>
        </w:rPr>
      </w:pPr>
      <w:r w:rsidRPr="000B7BB3">
        <w:rPr>
          <w:rFonts w:ascii="Calibri" w:hAnsi="Calibri" w:cs="Calibr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4F14AA">
        <w:rPr>
          <w:rFonts w:ascii="Calibri" w:hAnsi="Calibri" w:cs="Calibri"/>
          <w:sz w:val="22"/>
          <w:szCs w:val="22"/>
          <w:highlight w:val="yellow"/>
        </w:rPr>
        <w:t>s</w:t>
      </w:r>
      <w:bookmarkStart w:id="0" w:name="_GoBack"/>
      <w:bookmarkEnd w:id="0"/>
      <w:r w:rsidRPr="00D95A6C">
        <w:rPr>
          <w:rFonts w:ascii="Calibri" w:hAnsi="Calibri" w:cs="Calibri"/>
          <w:sz w:val="22"/>
          <w:szCs w:val="22"/>
          <w:highlight w:val="yellow"/>
        </w:rPr>
        <w:t>)</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09260D" w:rsidRPr="00C86791" w:rsidRDefault="0009260D" w:rsidP="0009260D">
      <w:pPr>
        <w:rPr>
          <w:rFonts w:ascii="Calibri" w:hAnsi="Calibri" w:cs="Calibri"/>
          <w:sz w:val="22"/>
          <w:szCs w:val="22"/>
        </w:rPr>
      </w:pPr>
    </w:p>
    <w:p w:rsidR="0009260D" w:rsidRPr="00B244C8" w:rsidRDefault="00952C01" w:rsidP="00B244C8">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09260D" w:rsidRPr="0009260D">
        <w:rPr>
          <w:rFonts w:asciiTheme="minorHAnsi" w:hAnsiTheme="minorHAnsi" w:cstheme="minorHAnsi"/>
        </w:rPr>
        <w:t>Télérecours</w:t>
      </w:r>
      <w:proofErr w:type="spellEnd"/>
      <w:r w:rsidR="0009260D" w:rsidRPr="0009260D">
        <w:rPr>
          <w:rFonts w:asciiTheme="minorHAnsi" w:hAnsiTheme="minorHAnsi" w:cstheme="minorHAnsi"/>
        </w:rPr>
        <w:t xml:space="preserve">, accessible par le lien suivant : </w:t>
      </w:r>
      <w:hyperlink r:id="rId9"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sectPr w:rsidR="0009260D" w:rsidRPr="00B244C8" w:rsidSect="00402C2E">
      <w:headerReference w:type="default"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AB" w:rsidRDefault="000252AB" w:rsidP="00C10E7B">
      <w:r>
        <w:separator/>
      </w:r>
    </w:p>
  </w:endnote>
  <w:endnote w:type="continuationSeparator" w:id="0">
    <w:p w:rsidR="000252AB" w:rsidRDefault="000252AB"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F14AA">
      <w:rPr>
        <w:noProof/>
      </w:rPr>
      <w:t>4</w:t>
    </w:r>
    <w:r w:rsidRPr="00C86791">
      <w:fldChar w:fldCharType="end"/>
    </w:r>
    <w:r w:rsidRPr="00C86791">
      <w:t xml:space="preserve"> sur </w:t>
    </w:r>
    <w:fldSimple w:instr="NUMPAGES  \* Arabic  \* MERGEFORMAT">
      <w:r w:rsidR="004F14AA">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F14AA">
      <w:rPr>
        <w:noProof/>
      </w:rPr>
      <w:t>1</w:t>
    </w:r>
    <w:r w:rsidRPr="00715C9B">
      <w:fldChar w:fldCharType="end"/>
    </w:r>
    <w:r w:rsidRPr="00715C9B">
      <w:t xml:space="preserve"> sur </w:t>
    </w:r>
    <w:r w:rsidR="000252AB">
      <w:fldChar w:fldCharType="begin"/>
    </w:r>
    <w:r w:rsidR="000252AB">
      <w:instrText>NUMPAGES  \* Arabic  \* MERGEFORMAT</w:instrText>
    </w:r>
    <w:r w:rsidR="000252AB">
      <w:fldChar w:fldCharType="separate"/>
    </w:r>
    <w:r w:rsidR="004F14AA">
      <w:rPr>
        <w:noProof/>
      </w:rPr>
      <w:t>4</w:t>
    </w:r>
    <w:r w:rsidR="000252AB">
      <w:rPr>
        <w:noProof/>
      </w:rPr>
      <w:fldChar w:fldCharType="end"/>
    </w:r>
    <w:r>
      <w:rPr>
        <w:noProof/>
      </w:rPr>
      <w:t xml:space="preserve"> - </w:t>
    </w:r>
    <w:r w:rsidRPr="007C0DFE">
      <w:rPr>
        <w:noProof/>
      </w:rPr>
      <w:t>MAJ mars 2022 – A jour du Code général de la fonction publique</w:t>
    </w:r>
  </w:p>
  <w:p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AB" w:rsidRDefault="000252AB" w:rsidP="00C10E7B">
      <w:r>
        <w:separator/>
      </w:r>
    </w:p>
  </w:footnote>
  <w:footnote w:type="continuationSeparator" w:id="0">
    <w:p w:rsidR="000252AB" w:rsidRDefault="000252AB"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7B" w:rsidRDefault="00C10E7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2"/>
  </w:num>
  <w:num w:numId="5">
    <w:abstractNumId w:val="6"/>
  </w:num>
  <w:num w:numId="6">
    <w:abstractNumId w:val="8"/>
  </w:num>
  <w:num w:numId="7">
    <w:abstractNumId w:val="1"/>
  </w:num>
  <w:num w:numId="8">
    <w:abstractNumId w:val="0"/>
  </w:num>
  <w:num w:numId="9">
    <w:abstractNumId w:val="9"/>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252AB"/>
    <w:rsid w:val="00070B0F"/>
    <w:rsid w:val="0009260D"/>
    <w:rsid w:val="000B7BB3"/>
    <w:rsid w:val="00137BD6"/>
    <w:rsid w:val="001D24C5"/>
    <w:rsid w:val="00214BC6"/>
    <w:rsid w:val="00372430"/>
    <w:rsid w:val="003E7BB2"/>
    <w:rsid w:val="00400861"/>
    <w:rsid w:val="00402C2E"/>
    <w:rsid w:val="00453175"/>
    <w:rsid w:val="004719DC"/>
    <w:rsid w:val="00492DF4"/>
    <w:rsid w:val="004F14AA"/>
    <w:rsid w:val="004F56D9"/>
    <w:rsid w:val="00524585"/>
    <w:rsid w:val="00545301"/>
    <w:rsid w:val="00594435"/>
    <w:rsid w:val="005B11FE"/>
    <w:rsid w:val="00603CB7"/>
    <w:rsid w:val="00670F89"/>
    <w:rsid w:val="006D7757"/>
    <w:rsid w:val="007015DE"/>
    <w:rsid w:val="00760817"/>
    <w:rsid w:val="007B093B"/>
    <w:rsid w:val="007C682D"/>
    <w:rsid w:val="008518F7"/>
    <w:rsid w:val="008D5571"/>
    <w:rsid w:val="008E5E83"/>
    <w:rsid w:val="00952C01"/>
    <w:rsid w:val="009A2689"/>
    <w:rsid w:val="00A365CE"/>
    <w:rsid w:val="00A4180B"/>
    <w:rsid w:val="00B06FD4"/>
    <w:rsid w:val="00B21380"/>
    <w:rsid w:val="00B244C8"/>
    <w:rsid w:val="00BB67DA"/>
    <w:rsid w:val="00C10E7B"/>
    <w:rsid w:val="00CA7CEC"/>
    <w:rsid w:val="00D023AB"/>
    <w:rsid w:val="00D83C7F"/>
    <w:rsid w:val="00E7186E"/>
    <w:rsid w:val="00E7321A"/>
    <w:rsid w:val="00EC3FFA"/>
    <w:rsid w:val="00F25CD3"/>
    <w:rsid w:val="00F36660"/>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A86F-2405-4B9F-B11D-E18DE6DD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4</cp:revision>
  <dcterms:created xsi:type="dcterms:W3CDTF">2022-02-06T10:23:00Z</dcterms:created>
  <dcterms:modified xsi:type="dcterms:W3CDTF">2022-02-06T10:25:00Z</dcterms:modified>
</cp:coreProperties>
</file>