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04E9F" w14:textId="2210A6F9" w:rsidR="00B70521" w:rsidRDefault="00EB5051" w:rsidP="00934AEB">
      <w:pPr>
        <w:rPr>
          <w:noProof/>
          <w:lang w:eastAsia="fr-FR"/>
        </w:rPr>
      </w:pPr>
      <w:r w:rsidRPr="001839E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7A59C31" wp14:editId="552DDDA7">
                <wp:simplePos x="0" y="0"/>
                <wp:positionH relativeFrom="column">
                  <wp:posOffset>-823595</wp:posOffset>
                </wp:positionH>
                <wp:positionV relativeFrom="paragraph">
                  <wp:posOffset>433705</wp:posOffset>
                </wp:positionV>
                <wp:extent cx="5114925" cy="1209675"/>
                <wp:effectExtent l="0" t="0" r="0" b="0"/>
                <wp:wrapNone/>
                <wp:docPr id="2" name="Zone de texte 2" descr="CONSEIL MEDICAL – Formation plénière&#10;Titre de la fiche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B0B5F" w14:textId="6097CD27" w:rsidR="00AD32DF" w:rsidRPr="00D704A8" w:rsidRDefault="00C35FA0" w:rsidP="00340B63">
                            <w:pPr>
                              <w:pStyle w:val="Titrefiche"/>
                              <w:spacing w:after="0" w:line="240" w:lineRule="auto"/>
                              <w:ind w:left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35FA0">
                              <w:rPr>
                                <w:rFonts w:cstheme="minorHAnsi"/>
                                <w:color w:val="000000" w:themeColor="text1"/>
                                <w:sz w:val="44"/>
                                <w:szCs w:val="44"/>
                              </w:rPr>
                              <w:t>LE DOSSIER DE DEMANDE D'ALLOCATION TEMPORAIRE D'INVALIDITE (A.T.I)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59C3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alt="CONSEIL MEDICAL – Formation plénière&#10;Titre de la fiche&#10;" style="position:absolute;left:0;text-align:left;margin-left:-64.85pt;margin-top:34.15pt;width:402.75pt;height:95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" filled="f" stroked="f">
                <v:textbox>
                  <w:txbxContent>
                    <w:p w14:paraId="110B0B5F" w14:textId="6097CD27" w:rsidR="00AD32DF" w:rsidRPr="00D704A8" w:rsidRDefault="00C35FA0" w:rsidP="00340B63">
                      <w:pPr>
                        <w:pStyle w:val="Titrefiche"/>
                        <w:spacing w:after="0" w:line="240" w:lineRule="auto"/>
                        <w:ind w:left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C35FA0">
                        <w:rPr>
                          <w:rFonts w:cstheme="minorHAnsi"/>
                          <w:color w:val="000000" w:themeColor="text1"/>
                          <w:sz w:val="44"/>
                          <w:szCs w:val="44"/>
                        </w:rPr>
                        <w:t>LE DOSSIER DE DEMANDE D'ALLOCATION TEMPORAIRE D'INVALIDITE (A.T.I)</w:t>
                      </w:r>
                    </w:p>
                  </w:txbxContent>
                </v:textbox>
              </v:shape>
            </w:pict>
          </mc:Fallback>
        </mc:AlternateContent>
      </w:r>
    </w:p>
    <w:p w14:paraId="2496CE06" w14:textId="7DDA107B" w:rsidR="00066FF5" w:rsidRDefault="00681902" w:rsidP="00934AEB">
      <w:r>
        <w:t xml:space="preserve"> </w:t>
      </w:r>
    </w:p>
    <w:p w14:paraId="486A7CFE" w14:textId="7A9A692B" w:rsidR="006B7256" w:rsidRDefault="006B7256" w:rsidP="00934AEB"/>
    <w:p w14:paraId="3849FAAF" w14:textId="7FD06BA9" w:rsidR="006B7256" w:rsidRDefault="006B7256" w:rsidP="00934AEB"/>
    <w:p w14:paraId="0922E052" w14:textId="57157F55" w:rsidR="006B7256" w:rsidRDefault="006B7256" w:rsidP="00934AEB"/>
    <w:p w14:paraId="1A079BCA" w14:textId="77777777" w:rsidR="00C35FA0" w:rsidRDefault="00C35FA0" w:rsidP="00C35FA0"/>
    <w:p w14:paraId="53003F51" w14:textId="77777777" w:rsidR="00C35FA0" w:rsidRDefault="00C35FA0" w:rsidP="00C35FA0"/>
    <w:p w14:paraId="1EE1EA7A" w14:textId="2231B587" w:rsidR="00C35FA0" w:rsidRDefault="00C35FA0" w:rsidP="00C35FA0">
      <w:r>
        <w:t>L’Allocation Temporaire d’Invalidité est une prestation attribuée à un fonctionnaire territorial ou hospitalier qui, à la suite d’un accident de service, de trajet, ou d’une maladie professionnelle, présente des infirmités permanentes lui permettant de reprendre ses fonctions</w:t>
      </w:r>
      <w:r w:rsidR="004A4E73">
        <w:t>.</w:t>
      </w:r>
    </w:p>
    <w:p w14:paraId="5CC63BAB" w14:textId="77777777" w:rsidR="004A4E73" w:rsidRDefault="00C35FA0" w:rsidP="004A4E73">
      <w:pPr>
        <w:spacing w:after="0"/>
      </w:pPr>
      <w:r>
        <w:t>Cette prestation vise essentiellement à indemniser l’invalidité résiduelle de l’accident de service ou de la maladie professionnelle, et non la diminution de rémunération consécutive à la réduction de capacité de travail. En effet, l’agent qui en bénéficie continue à percevoir son traitement d’activité</w:t>
      </w:r>
      <w:r w:rsidR="004A4E73">
        <w:t xml:space="preserve"> (Art L-824-1 CGFP).</w:t>
      </w:r>
    </w:p>
    <w:p w14:paraId="6A5013C5" w14:textId="5B155762" w:rsidR="004A4E73" w:rsidRDefault="004A4E73" w:rsidP="004A4E73">
      <w:pPr>
        <w:spacing w:before="120" w:after="240"/>
      </w:pPr>
      <w:r>
        <w:t>Elle est accordée dans les conditions fixées par le décret n°2005-442 du 2 mai 2005 modifié.</w:t>
      </w:r>
    </w:p>
    <w:p w14:paraId="415EBAD3" w14:textId="4F19455B" w:rsidR="005225F4" w:rsidRPr="00904DB8" w:rsidRDefault="00904DB8" w:rsidP="00904DB8">
      <w:pPr>
        <w:pStyle w:val="Titre2"/>
      </w:pPr>
      <w:r w:rsidRPr="00904DB8">
        <w:t>Bénéficiaires</w:t>
      </w:r>
    </w:p>
    <w:p w14:paraId="543975C4" w14:textId="1E0423AE" w:rsidR="00C35FA0" w:rsidRDefault="00C35FA0" w:rsidP="00C35FA0">
      <w:r>
        <w:t>Sont couverts par le régime de l’</w:t>
      </w:r>
      <w:r w:rsidR="004A4E73" w:rsidRPr="004A4E73">
        <w:t>Allocation Temporaire d’Invalidité des Agents des Collectivités Locales</w:t>
      </w:r>
      <w:r w:rsidR="004A4E73">
        <w:t xml:space="preserve"> (</w:t>
      </w:r>
      <w:r>
        <w:t>ATIACL</w:t>
      </w:r>
      <w:r w:rsidR="004A4E73">
        <w:t>), les</w:t>
      </w:r>
      <w:r>
        <w:t xml:space="preserve"> </w:t>
      </w:r>
      <w:r w:rsidR="004A4E73">
        <w:t>fonctionnaires</w:t>
      </w:r>
      <w:r>
        <w:t xml:space="preserve"> :</w:t>
      </w:r>
    </w:p>
    <w:p w14:paraId="146A7468" w14:textId="5E6262B5" w:rsidR="00C35FA0" w:rsidRDefault="00C35FA0" w:rsidP="00C35FA0">
      <w:r>
        <w:t>•</w:t>
      </w:r>
      <w:r>
        <w:tab/>
        <w:t>Titulaires ou stagiaires affiliés à la CNRACL, exceptés les agents détachés sur des emplois ne conduisant pas à pension CNRACL</w:t>
      </w:r>
      <w:r w:rsidR="004A4E73">
        <w:t> ;</w:t>
      </w:r>
    </w:p>
    <w:p w14:paraId="30665643" w14:textId="51DF74FC" w:rsidR="00904DB8" w:rsidRDefault="00C35FA0" w:rsidP="00C35FA0">
      <w:r>
        <w:t>•</w:t>
      </w:r>
      <w:r>
        <w:tab/>
        <w:t>Détachés de l’État sur un emploi relevant de la CNRACL.</w:t>
      </w:r>
    </w:p>
    <w:p w14:paraId="4877D535" w14:textId="7A2C5866" w:rsidR="00904DB8" w:rsidRDefault="00C35FA0" w:rsidP="00904DB8">
      <w:pPr>
        <w:pStyle w:val="Titre2"/>
      </w:pPr>
      <w:r w:rsidRPr="00C35FA0">
        <w:t xml:space="preserve">Les conditions d'octroi </w:t>
      </w:r>
    </w:p>
    <w:p w14:paraId="7B7521BB" w14:textId="48729C59" w:rsidR="00C35FA0" w:rsidRDefault="00C35FA0" w:rsidP="004A4E73">
      <w:pPr>
        <w:spacing w:after="120"/>
        <w:rPr>
          <w:rFonts w:cstheme="minorHAnsi"/>
        </w:rPr>
      </w:pPr>
      <w:r w:rsidRPr="00C65D48">
        <w:rPr>
          <w:rFonts w:cstheme="minorHAnsi"/>
        </w:rPr>
        <w:t>Le taux de 10% minimum</w:t>
      </w:r>
      <w:r>
        <w:rPr>
          <w:rFonts w:cstheme="minorHAnsi"/>
        </w:rPr>
        <w:t xml:space="preserve"> d’</w:t>
      </w:r>
      <w:r w:rsidR="004A4E73">
        <w:rPr>
          <w:rFonts w:cstheme="minorHAnsi"/>
        </w:rPr>
        <w:t>Incapacité Permanente Partielle (</w:t>
      </w:r>
      <w:r>
        <w:rPr>
          <w:rFonts w:cstheme="minorHAnsi"/>
        </w:rPr>
        <w:t>IPP</w:t>
      </w:r>
      <w:r w:rsidR="004A4E73">
        <w:rPr>
          <w:rFonts w:cstheme="minorHAnsi"/>
        </w:rPr>
        <w:t>)</w:t>
      </w:r>
      <w:r w:rsidRPr="00C65D48">
        <w:rPr>
          <w:rFonts w:cstheme="minorHAnsi"/>
        </w:rPr>
        <w:t xml:space="preserve"> est requis pour l'octroi de l'allocation dans le cadre d'un accident de service.</w:t>
      </w:r>
      <w:r w:rsidRPr="00C65D48">
        <w:rPr>
          <w:rFonts w:cstheme="minorHAnsi"/>
        </w:rPr>
        <w:br/>
        <w:t>Aucune condition de taux d'incapacité minimum n'est requise dans le cadre de la maladie professionnelle reconnue par le code de la sécurité sociale ;</w:t>
      </w:r>
      <w:r w:rsidRPr="00C65D48">
        <w:rPr>
          <w:rFonts w:cstheme="minorHAnsi"/>
        </w:rPr>
        <w:br/>
        <w:t xml:space="preserve">L'attribution de cette allocation s'établit </w:t>
      </w:r>
      <w:r w:rsidR="004A4E73">
        <w:rPr>
          <w:rFonts w:cstheme="minorHAnsi"/>
        </w:rPr>
        <w:t>selon</w:t>
      </w:r>
      <w:r w:rsidRPr="00C65D48">
        <w:rPr>
          <w:rFonts w:cstheme="minorHAnsi"/>
        </w:rPr>
        <w:t xml:space="preserve"> deux procédures concomitantes : l'une auprès du Conseil médical formation plénière, l'autre auprès de la Caisse de </w:t>
      </w:r>
      <w:r w:rsidR="004A4E73">
        <w:rPr>
          <w:rFonts w:cstheme="minorHAnsi"/>
        </w:rPr>
        <w:t>d</w:t>
      </w:r>
      <w:r w:rsidRPr="00C65D48">
        <w:rPr>
          <w:rFonts w:cstheme="minorHAnsi"/>
        </w:rPr>
        <w:t xml:space="preserve">épôts et de </w:t>
      </w:r>
      <w:r w:rsidR="004A4E73">
        <w:rPr>
          <w:rFonts w:cstheme="minorHAnsi"/>
        </w:rPr>
        <w:t>c</w:t>
      </w:r>
      <w:r w:rsidRPr="00C65D48">
        <w:rPr>
          <w:rFonts w:cstheme="minorHAnsi"/>
        </w:rPr>
        <w:t>onsignations (sous la section ATIACL).</w:t>
      </w:r>
      <w:r w:rsidRPr="00C65D48">
        <w:rPr>
          <w:rFonts w:cstheme="minorHAnsi"/>
        </w:rPr>
        <w:br/>
        <w:t>L’ATI est versée tous les mois</w:t>
      </w:r>
      <w:r w:rsidR="004A4E73">
        <w:rPr>
          <w:rFonts w:cstheme="minorHAnsi"/>
        </w:rPr>
        <w:t xml:space="preserve"> à terme échu</w:t>
      </w:r>
      <w:r w:rsidRPr="00C65D48">
        <w:rPr>
          <w:rFonts w:cstheme="minorHAnsi"/>
        </w:rPr>
        <w:t xml:space="preserve"> à l’intéressé par la Caisse des dépôts et consignations (CDC), sur demande du fonctionnaire.</w:t>
      </w:r>
    </w:p>
    <w:p w14:paraId="39697AF6" w14:textId="57162ACA" w:rsidR="004A4E73" w:rsidRPr="00C65D48" w:rsidRDefault="004A4E73" w:rsidP="00C35FA0">
      <w:pPr>
        <w:rPr>
          <w:rFonts w:cstheme="minorHAnsi"/>
        </w:rPr>
      </w:pPr>
      <w:r>
        <w:rPr>
          <w:rFonts w:cstheme="minorHAnsi"/>
        </w:rPr>
        <w:t>Elle fait l’objet d’une révision quinquennale.</w:t>
      </w:r>
    </w:p>
    <w:p w14:paraId="3707A63B" w14:textId="3F982B34" w:rsidR="00C35FA0" w:rsidRDefault="00C35FA0">
      <w:pPr>
        <w:ind w:left="0"/>
      </w:pPr>
      <w:r>
        <w:br w:type="page"/>
      </w:r>
    </w:p>
    <w:p w14:paraId="2209F61C" w14:textId="77777777" w:rsidR="00C35FA0" w:rsidRDefault="00C35FA0" w:rsidP="00C35FA0">
      <w:pPr>
        <w:rPr>
          <w:b/>
          <w:bCs/>
          <w:sz w:val="28"/>
          <w:szCs w:val="28"/>
        </w:rPr>
      </w:pPr>
      <w:r w:rsidRPr="00C35FA0">
        <w:rPr>
          <w:b/>
          <w:bCs/>
          <w:sz w:val="28"/>
          <w:szCs w:val="28"/>
        </w:rPr>
        <w:lastRenderedPageBreak/>
        <w:t>Quelle est la procédure pour mettre en place l’ATI ?</w:t>
      </w:r>
    </w:p>
    <w:p w14:paraId="26BD356C" w14:textId="35373571" w:rsidR="00C35FA0" w:rsidRPr="00EB5051" w:rsidRDefault="00C35FA0" w:rsidP="00C35FA0">
      <w:pPr>
        <w:rPr>
          <w:rStyle w:val="lev"/>
          <w:rFonts w:cstheme="minorHAnsi"/>
        </w:rPr>
      </w:pPr>
      <w:r w:rsidRPr="00EB5051">
        <w:rPr>
          <w:rStyle w:val="lev"/>
          <w:rFonts w:cstheme="minorHAnsi"/>
          <w:color w:val="333333"/>
          <w:spacing w:val="-4"/>
        </w:rPr>
        <w:t>Etape 1 </w:t>
      </w:r>
    </w:p>
    <w:p w14:paraId="43B72A27" w14:textId="748A5942" w:rsidR="00C35FA0" w:rsidRPr="00EB5051" w:rsidRDefault="00C35FA0" w:rsidP="00C35FA0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33333"/>
          <w:spacing w:val="-4"/>
          <w:sz w:val="22"/>
          <w:szCs w:val="22"/>
        </w:rPr>
      </w:pPr>
      <w:r w:rsidRPr="00EB5051">
        <w:rPr>
          <w:rFonts w:asciiTheme="minorHAnsi" w:hAnsiTheme="minorHAnsi" w:cstheme="minorHAnsi"/>
          <w:color w:val="333333"/>
          <w:spacing w:val="-4"/>
          <w:sz w:val="22"/>
          <w:szCs w:val="22"/>
        </w:rPr>
        <w:t xml:space="preserve">L'agent transmet le certificat final et </w:t>
      </w:r>
      <w:r w:rsidR="004A4E73">
        <w:rPr>
          <w:rFonts w:asciiTheme="minorHAnsi" w:hAnsiTheme="minorHAnsi" w:cstheme="minorHAnsi"/>
          <w:color w:val="333333"/>
          <w:spacing w:val="-4"/>
          <w:sz w:val="22"/>
          <w:szCs w:val="22"/>
        </w:rPr>
        <w:t>fait</w:t>
      </w:r>
      <w:r w:rsidRPr="00EB5051">
        <w:rPr>
          <w:rFonts w:asciiTheme="minorHAnsi" w:hAnsiTheme="minorHAnsi" w:cstheme="minorHAnsi"/>
          <w:color w:val="333333"/>
          <w:spacing w:val="-4"/>
          <w:sz w:val="22"/>
          <w:szCs w:val="22"/>
        </w:rPr>
        <w:t xml:space="preserve"> une demande </w:t>
      </w:r>
      <w:r w:rsidR="004A4E73">
        <w:rPr>
          <w:rFonts w:asciiTheme="minorHAnsi" w:hAnsiTheme="minorHAnsi" w:cstheme="minorHAnsi"/>
          <w:color w:val="333333"/>
          <w:spacing w:val="-4"/>
          <w:sz w:val="22"/>
          <w:szCs w:val="22"/>
        </w:rPr>
        <w:t xml:space="preserve">expresse </w:t>
      </w:r>
      <w:r w:rsidRPr="00EB5051">
        <w:rPr>
          <w:rFonts w:asciiTheme="minorHAnsi" w:hAnsiTheme="minorHAnsi" w:cstheme="minorHAnsi"/>
          <w:color w:val="333333"/>
          <w:spacing w:val="-4"/>
          <w:sz w:val="22"/>
          <w:szCs w:val="22"/>
        </w:rPr>
        <w:t xml:space="preserve">d’ATIACL à </w:t>
      </w:r>
      <w:r w:rsidR="00316238">
        <w:rPr>
          <w:rFonts w:asciiTheme="minorHAnsi" w:hAnsiTheme="minorHAnsi" w:cstheme="minorHAnsi"/>
          <w:color w:val="333333"/>
          <w:spacing w:val="-4"/>
          <w:sz w:val="22"/>
          <w:szCs w:val="22"/>
        </w:rPr>
        <w:t>l’autorité territoriale</w:t>
      </w:r>
      <w:r w:rsidRPr="00EB5051">
        <w:rPr>
          <w:rFonts w:asciiTheme="minorHAnsi" w:hAnsiTheme="minorHAnsi" w:cstheme="minorHAnsi"/>
          <w:color w:val="333333"/>
          <w:spacing w:val="-4"/>
          <w:sz w:val="22"/>
          <w:szCs w:val="22"/>
        </w:rPr>
        <w:t xml:space="preserve"> dans un délai d’un an à compter de :</w:t>
      </w:r>
    </w:p>
    <w:p w14:paraId="64D903AA" w14:textId="6286178F" w:rsidR="00C35FA0" w:rsidRPr="00EB5051" w:rsidRDefault="00C35FA0" w:rsidP="00C35FA0">
      <w:pPr>
        <w:pStyle w:val="Paragraphedeliste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EB5051">
        <w:rPr>
          <w:rFonts w:cstheme="minorHAnsi"/>
        </w:rPr>
        <w:t>La date de reprise des fonctions si cette reprise a eu lieu après consolidation des infirmités</w:t>
      </w:r>
      <w:r w:rsidR="00316238">
        <w:rPr>
          <w:rFonts w:cstheme="minorHAnsi"/>
        </w:rPr>
        <w:t> ;</w:t>
      </w:r>
    </w:p>
    <w:p w14:paraId="746E875E" w14:textId="4D42AFFA" w:rsidR="00C35FA0" w:rsidRPr="00EB5051" w:rsidRDefault="00C35FA0" w:rsidP="00C35FA0">
      <w:pPr>
        <w:pStyle w:val="Paragraphedeliste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EB5051">
        <w:rPr>
          <w:rFonts w:cstheme="minorHAnsi"/>
        </w:rPr>
        <w:t>La date de consolidation des séquelles si la consolidation est postérieure à la reprise des fonctions</w:t>
      </w:r>
      <w:r w:rsidR="00316238">
        <w:rPr>
          <w:rFonts w:cstheme="minorHAnsi"/>
        </w:rPr>
        <w:t>.</w:t>
      </w:r>
    </w:p>
    <w:p w14:paraId="2D25E44C" w14:textId="1265DA4C" w:rsidR="00C35FA0" w:rsidRPr="00EB5051" w:rsidRDefault="00C35FA0" w:rsidP="00EB5051">
      <w:pPr>
        <w:ind w:left="360"/>
        <w:rPr>
          <w:rFonts w:cstheme="minorHAnsi"/>
          <w:i/>
          <w:iCs/>
        </w:rPr>
      </w:pPr>
      <w:r w:rsidRPr="00EB5051">
        <w:rPr>
          <w:rFonts w:cstheme="minorHAnsi"/>
          <w:i/>
          <w:iCs/>
        </w:rPr>
        <w:t xml:space="preserve">Passé ce délai, la demande n'est plus recevable (même si le retard est imputable à </w:t>
      </w:r>
      <w:r w:rsidR="00316238">
        <w:rPr>
          <w:rFonts w:cstheme="minorHAnsi"/>
          <w:i/>
          <w:iCs/>
        </w:rPr>
        <w:t>l</w:t>
      </w:r>
      <w:r w:rsidRPr="00EB5051">
        <w:rPr>
          <w:rFonts w:cstheme="minorHAnsi"/>
          <w:i/>
          <w:iCs/>
        </w:rPr>
        <w:t xml:space="preserve">'administration qui n'aurait pas informé le fonctionnaire de ses droits en temps utile). </w:t>
      </w:r>
    </w:p>
    <w:p w14:paraId="60CCC615" w14:textId="4852D799" w:rsidR="00C35FA0" w:rsidRPr="00EB5051" w:rsidRDefault="00C35FA0" w:rsidP="00C35FA0">
      <w:pPr>
        <w:rPr>
          <w:rStyle w:val="lev"/>
          <w:rFonts w:cstheme="minorHAnsi"/>
          <w:color w:val="333333"/>
          <w:spacing w:val="-4"/>
        </w:rPr>
      </w:pPr>
      <w:r w:rsidRPr="00EB5051">
        <w:rPr>
          <w:rStyle w:val="lev"/>
          <w:rFonts w:cstheme="minorHAnsi"/>
          <w:color w:val="333333"/>
          <w:spacing w:val="-4"/>
        </w:rPr>
        <w:t>Etape 2</w:t>
      </w:r>
    </w:p>
    <w:p w14:paraId="13A0A8A8" w14:textId="77777777" w:rsidR="00C35FA0" w:rsidRPr="00EB5051" w:rsidRDefault="00C35FA0" w:rsidP="00C35FA0">
      <w:pPr>
        <w:pStyle w:val="NormalWeb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333333"/>
          <w:spacing w:val="-4"/>
          <w:sz w:val="22"/>
          <w:szCs w:val="22"/>
        </w:rPr>
      </w:pPr>
      <w:r w:rsidRPr="00EB5051">
        <w:rPr>
          <w:rFonts w:asciiTheme="minorHAnsi" w:hAnsiTheme="minorHAnsi" w:cstheme="minorHAnsi"/>
          <w:color w:val="333333"/>
          <w:spacing w:val="-4"/>
          <w:sz w:val="22"/>
          <w:szCs w:val="22"/>
        </w:rPr>
        <w:t xml:space="preserve">Dès que l’agent a déposé sa demande d’allocation temporaire d’invalidité, la collectivité missionne un médecin agréé chargé de l’examen médical de l’agent. Elle lui indique sa mission, et lui transmet le rapport médical à remplir, accompagné de toutes les autres pièces médicales déjà en sa possession ainsi que le rapport hiérarchique. </w:t>
      </w:r>
    </w:p>
    <w:p w14:paraId="3B16AB3D" w14:textId="5F1A6BA6" w:rsidR="00C35FA0" w:rsidRPr="00EB5051" w:rsidRDefault="00C35FA0" w:rsidP="00EB5051">
      <w:pPr>
        <w:rPr>
          <w:rStyle w:val="lev"/>
          <w:rFonts w:cstheme="minorHAnsi"/>
          <w:color w:val="333333"/>
          <w:spacing w:val="-4"/>
        </w:rPr>
      </w:pPr>
      <w:r w:rsidRPr="00EB5051">
        <w:rPr>
          <w:rStyle w:val="lev"/>
          <w:rFonts w:cstheme="minorHAnsi"/>
        </w:rPr>
        <w:t>E</w:t>
      </w:r>
      <w:r w:rsidRPr="00EB5051">
        <w:rPr>
          <w:rStyle w:val="lev"/>
          <w:rFonts w:cstheme="minorHAnsi"/>
          <w:color w:val="333333"/>
          <w:spacing w:val="-4"/>
        </w:rPr>
        <w:t>tape 3</w:t>
      </w:r>
    </w:p>
    <w:p w14:paraId="6FB40B3D" w14:textId="77777777" w:rsidR="00C35FA0" w:rsidRPr="00EB5051" w:rsidRDefault="00C35FA0" w:rsidP="00C35FA0">
      <w:pPr>
        <w:pStyle w:val="NormalWeb"/>
        <w:shd w:val="clear" w:color="auto" w:fill="FFFFFF"/>
        <w:spacing w:before="0" w:beforeAutospacing="0" w:after="360" w:afterAutospacing="0"/>
        <w:jc w:val="both"/>
        <w:rPr>
          <w:rStyle w:val="lev"/>
          <w:rFonts w:asciiTheme="minorHAnsi" w:hAnsiTheme="minorHAnsi" w:cstheme="minorHAnsi"/>
          <w:b w:val="0"/>
          <w:bCs w:val="0"/>
          <w:sz w:val="22"/>
          <w:szCs w:val="22"/>
        </w:rPr>
      </w:pPr>
      <w:r w:rsidRPr="00EB5051">
        <w:rPr>
          <w:rStyle w:val="lev"/>
          <w:rFonts w:asciiTheme="minorHAnsi" w:hAnsiTheme="minorHAnsi" w:cstheme="minorHAnsi"/>
          <w:b w:val="0"/>
          <w:bCs w:val="0"/>
          <w:sz w:val="22"/>
          <w:szCs w:val="22"/>
        </w:rPr>
        <w:t>Le médecin agréé convoque l’agent, l’examine et complète le dossier médical en se référant à la notice annexée à celui-ci. L’objectif de cet examen est de qualifier les séquelles, en se référant au </w:t>
      </w:r>
      <w:hyperlink r:id="rId7" w:tgtFrame="_blank" w:history="1">
        <w:r w:rsidRPr="00EB5051">
          <w:rPr>
            <w:rStyle w:val="lev"/>
            <w:rFonts w:asciiTheme="minorHAnsi" w:hAnsiTheme="minorHAnsi" w:cstheme="minorHAnsi"/>
            <w:b w:val="0"/>
            <w:bCs w:val="0"/>
            <w:color w:val="333333"/>
            <w:sz w:val="22"/>
            <w:szCs w:val="22"/>
          </w:rPr>
          <w:t>barème</w:t>
        </w:r>
      </w:hyperlink>
      <w:r w:rsidRPr="00EB5051">
        <w:rPr>
          <w:rStyle w:val="lev"/>
          <w:rFonts w:asciiTheme="minorHAnsi" w:hAnsiTheme="minorHAnsi" w:cstheme="minorHAnsi"/>
          <w:b w:val="0"/>
          <w:bCs w:val="0"/>
          <w:sz w:val="22"/>
          <w:szCs w:val="22"/>
        </w:rPr>
        <w:t> du code des pensions civile et militaire, et de déterminer un taux par séquelle.</w:t>
      </w:r>
    </w:p>
    <w:p w14:paraId="69201952" w14:textId="77777777" w:rsidR="00C35FA0" w:rsidRPr="00EB5051" w:rsidRDefault="00C35FA0" w:rsidP="00EB5051">
      <w:pPr>
        <w:rPr>
          <w:rStyle w:val="lev"/>
          <w:rFonts w:cstheme="minorHAnsi"/>
        </w:rPr>
      </w:pPr>
      <w:r w:rsidRPr="00EB5051">
        <w:rPr>
          <w:rStyle w:val="lev"/>
          <w:rFonts w:cstheme="minorHAnsi"/>
        </w:rPr>
        <w:t>Etape 4</w:t>
      </w:r>
    </w:p>
    <w:p w14:paraId="0F7849DD" w14:textId="77777777" w:rsidR="00C35FA0" w:rsidRPr="00EB5051" w:rsidRDefault="00C35FA0" w:rsidP="00C35FA0">
      <w:pPr>
        <w:pStyle w:val="NormalWeb"/>
        <w:shd w:val="clear" w:color="auto" w:fill="FFFFFF"/>
        <w:spacing w:before="0" w:beforeAutospacing="0" w:after="300" w:afterAutospacing="0"/>
        <w:rPr>
          <w:rStyle w:val="lev"/>
          <w:rFonts w:asciiTheme="minorHAnsi" w:hAnsiTheme="minorHAnsi" w:cstheme="minorHAnsi"/>
          <w:b w:val="0"/>
          <w:bCs w:val="0"/>
          <w:sz w:val="22"/>
          <w:szCs w:val="22"/>
        </w:rPr>
      </w:pPr>
      <w:r w:rsidRPr="00EB5051">
        <w:rPr>
          <w:rStyle w:val="lev"/>
          <w:rFonts w:asciiTheme="minorHAnsi" w:hAnsiTheme="minorHAnsi" w:cstheme="minorHAnsi"/>
          <w:b w:val="0"/>
          <w:bCs w:val="0"/>
          <w:sz w:val="22"/>
          <w:szCs w:val="22"/>
        </w:rPr>
        <w:t>Après la consultation médicale, la collectivité :</w:t>
      </w:r>
    </w:p>
    <w:p w14:paraId="14B66C6B" w14:textId="77777777" w:rsidR="00C35FA0" w:rsidRPr="00EB5051" w:rsidRDefault="00C35FA0" w:rsidP="00C35FA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120" w:afterAutospacing="0"/>
        <w:rPr>
          <w:rStyle w:val="lev"/>
          <w:rFonts w:asciiTheme="minorHAnsi" w:hAnsiTheme="minorHAnsi" w:cstheme="minorHAnsi"/>
          <w:b w:val="0"/>
          <w:bCs w:val="0"/>
          <w:sz w:val="22"/>
          <w:szCs w:val="22"/>
        </w:rPr>
      </w:pPr>
      <w:r w:rsidRPr="00EB5051">
        <w:rPr>
          <w:rStyle w:val="lev"/>
          <w:rFonts w:asciiTheme="minorHAnsi" w:hAnsiTheme="minorHAnsi" w:cstheme="minorHAnsi"/>
          <w:b w:val="0"/>
          <w:bCs w:val="0"/>
          <w:sz w:val="22"/>
          <w:szCs w:val="22"/>
        </w:rPr>
        <w:t>Règle les honoraires du médecin,</w:t>
      </w:r>
    </w:p>
    <w:p w14:paraId="356A0323" w14:textId="77777777" w:rsidR="00C35FA0" w:rsidRPr="00EB5051" w:rsidRDefault="00C35FA0" w:rsidP="00C35FA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120" w:afterAutospacing="0"/>
        <w:rPr>
          <w:rStyle w:val="lev"/>
          <w:rFonts w:asciiTheme="minorHAnsi" w:hAnsiTheme="minorHAnsi" w:cstheme="minorHAnsi"/>
          <w:b w:val="0"/>
          <w:bCs w:val="0"/>
          <w:sz w:val="22"/>
          <w:szCs w:val="22"/>
        </w:rPr>
      </w:pPr>
      <w:r w:rsidRPr="00EB5051">
        <w:rPr>
          <w:rStyle w:val="lev"/>
          <w:rFonts w:asciiTheme="minorHAnsi" w:hAnsiTheme="minorHAnsi" w:cstheme="minorHAnsi"/>
          <w:b w:val="0"/>
          <w:bCs w:val="0"/>
          <w:sz w:val="22"/>
          <w:szCs w:val="22"/>
        </w:rPr>
        <w:t>Prend connaissance du rapport médical. A cet égard, il est rappelé que les personnels administratifs, tenus au secret professionnel, peuvent avoir accès, pour l’étude du droit, au dossier médical.</w:t>
      </w:r>
    </w:p>
    <w:p w14:paraId="3F072D62" w14:textId="77777777" w:rsidR="00C35FA0" w:rsidRPr="00EB5051" w:rsidRDefault="00C35FA0" w:rsidP="00C35FA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120" w:afterAutospacing="0"/>
        <w:rPr>
          <w:rStyle w:val="lev"/>
          <w:rFonts w:asciiTheme="minorHAnsi" w:hAnsiTheme="minorHAnsi" w:cstheme="minorHAnsi"/>
          <w:b w:val="0"/>
          <w:bCs w:val="0"/>
          <w:sz w:val="22"/>
          <w:szCs w:val="22"/>
        </w:rPr>
      </w:pPr>
      <w:r w:rsidRPr="00EB5051">
        <w:rPr>
          <w:rStyle w:val="lev"/>
          <w:rFonts w:asciiTheme="minorHAnsi" w:hAnsiTheme="minorHAnsi" w:cstheme="minorHAnsi"/>
          <w:b w:val="0"/>
          <w:bCs w:val="0"/>
          <w:sz w:val="22"/>
          <w:szCs w:val="22"/>
        </w:rPr>
        <w:t>Communique les conclusions du médecin à l’agent,</w:t>
      </w:r>
    </w:p>
    <w:p w14:paraId="1164D003" w14:textId="77777777" w:rsidR="00C35FA0" w:rsidRPr="00EB5051" w:rsidRDefault="00C35FA0" w:rsidP="00C35FA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300" w:afterAutospacing="0"/>
        <w:rPr>
          <w:rStyle w:val="lev"/>
          <w:rFonts w:asciiTheme="minorHAnsi" w:hAnsiTheme="minorHAnsi" w:cstheme="minorHAnsi"/>
          <w:b w:val="0"/>
          <w:bCs w:val="0"/>
          <w:sz w:val="22"/>
          <w:szCs w:val="22"/>
        </w:rPr>
      </w:pPr>
      <w:r w:rsidRPr="00EB5051">
        <w:rPr>
          <w:rStyle w:val="lev"/>
          <w:rFonts w:asciiTheme="minorHAnsi" w:hAnsiTheme="minorHAnsi" w:cstheme="minorHAnsi"/>
          <w:b w:val="0"/>
          <w:bCs w:val="0"/>
          <w:sz w:val="22"/>
          <w:szCs w:val="22"/>
        </w:rPr>
        <w:t xml:space="preserve">Doit veiller tout particulièrement à ce que les conditions nécessaires à l’octroi d’une allocation soient remplies. </w:t>
      </w:r>
    </w:p>
    <w:p w14:paraId="715FB852" w14:textId="77777777" w:rsidR="00EB5051" w:rsidRPr="00EB5051" w:rsidRDefault="00EB5051" w:rsidP="00EB5051">
      <w:pPr>
        <w:rPr>
          <w:rStyle w:val="lev"/>
          <w:rFonts w:cstheme="minorHAnsi"/>
        </w:rPr>
      </w:pPr>
      <w:r w:rsidRPr="00EB5051">
        <w:rPr>
          <w:rStyle w:val="lev"/>
          <w:rFonts w:cstheme="minorHAnsi"/>
        </w:rPr>
        <w:t>Etape 5</w:t>
      </w:r>
    </w:p>
    <w:p w14:paraId="09C00E3E" w14:textId="4B9BF8D7" w:rsidR="00EB5051" w:rsidRPr="00EB5051" w:rsidRDefault="00EB5051" w:rsidP="00316238">
      <w:pPr>
        <w:pStyle w:val="NormalWeb"/>
        <w:shd w:val="clear" w:color="auto" w:fill="FFFFFF"/>
        <w:spacing w:before="0" w:beforeAutospacing="0" w:after="120" w:afterAutospacing="0"/>
        <w:jc w:val="both"/>
        <w:rPr>
          <w:rStyle w:val="lev"/>
          <w:rFonts w:asciiTheme="minorHAnsi" w:hAnsiTheme="minorHAnsi" w:cstheme="minorHAnsi"/>
          <w:b w:val="0"/>
          <w:bCs w:val="0"/>
          <w:color w:val="333333"/>
          <w:spacing w:val="-4"/>
          <w:sz w:val="22"/>
          <w:szCs w:val="22"/>
        </w:rPr>
      </w:pPr>
      <w:r w:rsidRPr="00EB5051">
        <w:rPr>
          <w:rStyle w:val="lev"/>
          <w:rFonts w:asciiTheme="minorHAnsi" w:hAnsiTheme="minorHAnsi" w:cstheme="minorHAnsi"/>
          <w:b w:val="0"/>
          <w:bCs w:val="0"/>
          <w:color w:val="333333"/>
          <w:sz w:val="22"/>
          <w:szCs w:val="22"/>
        </w:rPr>
        <w:t xml:space="preserve">Si le médecin conclut à un taux </w:t>
      </w:r>
      <w:proofErr w:type="spellStart"/>
      <w:r w:rsidRPr="00EB5051">
        <w:rPr>
          <w:rStyle w:val="lev"/>
          <w:rFonts w:asciiTheme="minorHAnsi" w:hAnsiTheme="minorHAnsi" w:cstheme="minorHAnsi"/>
          <w:b w:val="0"/>
          <w:bCs w:val="0"/>
          <w:color w:val="333333"/>
          <w:sz w:val="22"/>
          <w:szCs w:val="22"/>
        </w:rPr>
        <w:t>rémunérable</w:t>
      </w:r>
      <w:proofErr w:type="spellEnd"/>
      <w:r w:rsidRPr="00EB5051">
        <w:rPr>
          <w:rStyle w:val="lev"/>
          <w:rFonts w:asciiTheme="minorHAnsi" w:hAnsiTheme="minorHAnsi" w:cstheme="minorHAnsi"/>
          <w:b w:val="0"/>
          <w:bCs w:val="0"/>
          <w:color w:val="333333"/>
          <w:sz w:val="22"/>
          <w:szCs w:val="22"/>
        </w:rPr>
        <w:t>, l</w:t>
      </w:r>
      <w:r w:rsidRPr="00EB5051">
        <w:rPr>
          <w:rStyle w:val="lev"/>
          <w:rFonts w:asciiTheme="minorHAnsi" w:hAnsiTheme="minorHAnsi" w:cstheme="minorHAnsi"/>
          <w:b w:val="0"/>
          <w:bCs w:val="0"/>
          <w:sz w:val="22"/>
          <w:szCs w:val="22"/>
        </w:rPr>
        <w:t>a collectivité doit alors</w:t>
      </w:r>
      <w:r w:rsidR="00316238">
        <w:rPr>
          <w:rStyle w:val="lev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>
        <w:rPr>
          <w:rStyle w:val="lev"/>
          <w:rFonts w:asciiTheme="minorHAnsi" w:hAnsiTheme="minorHAnsi" w:cstheme="minorHAnsi"/>
          <w:b w:val="0"/>
          <w:bCs w:val="0"/>
          <w:sz w:val="22"/>
          <w:szCs w:val="22"/>
        </w:rPr>
        <w:t>c</w:t>
      </w:r>
      <w:r w:rsidRPr="00EB5051">
        <w:rPr>
          <w:rStyle w:val="lev"/>
          <w:rFonts w:asciiTheme="minorHAnsi" w:hAnsiTheme="minorHAnsi" w:cstheme="minorHAnsi"/>
          <w:b w:val="0"/>
          <w:bCs w:val="0"/>
          <w:sz w:val="22"/>
          <w:szCs w:val="22"/>
        </w:rPr>
        <w:t>ompléter le dossier administratif,</w:t>
      </w:r>
      <w:r w:rsidR="00FA11DE">
        <w:rPr>
          <w:rStyle w:val="lev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316238">
        <w:rPr>
          <w:rStyle w:val="lev"/>
          <w:rFonts w:asciiTheme="minorHAnsi" w:hAnsiTheme="minorHAnsi" w:cstheme="minorHAnsi"/>
          <w:b w:val="0"/>
          <w:bCs w:val="0"/>
          <w:sz w:val="22"/>
          <w:szCs w:val="22"/>
        </w:rPr>
        <w:t>et t</w:t>
      </w:r>
      <w:r w:rsidRPr="00EB5051">
        <w:rPr>
          <w:rStyle w:val="lev"/>
          <w:rFonts w:asciiTheme="minorHAnsi" w:hAnsiTheme="minorHAnsi" w:cstheme="minorHAnsi"/>
          <w:b w:val="0"/>
          <w:bCs w:val="0"/>
          <w:sz w:val="22"/>
          <w:szCs w:val="22"/>
        </w:rPr>
        <w:t xml:space="preserve">ransmettre au Conseil médical </w:t>
      </w:r>
      <w:r w:rsidR="00316238">
        <w:rPr>
          <w:rStyle w:val="lev"/>
          <w:rFonts w:asciiTheme="minorHAnsi" w:hAnsiTheme="minorHAnsi" w:cstheme="minorHAnsi"/>
          <w:b w:val="0"/>
          <w:bCs w:val="0"/>
          <w:sz w:val="22"/>
          <w:szCs w:val="22"/>
        </w:rPr>
        <w:t xml:space="preserve">formation plénière </w:t>
      </w:r>
      <w:r w:rsidRPr="00EB5051">
        <w:rPr>
          <w:rStyle w:val="lev"/>
          <w:rFonts w:asciiTheme="minorHAnsi" w:hAnsiTheme="minorHAnsi" w:cstheme="minorHAnsi"/>
          <w:b w:val="0"/>
          <w:bCs w:val="0"/>
          <w:sz w:val="22"/>
          <w:szCs w:val="22"/>
        </w:rPr>
        <w:t xml:space="preserve">: </w:t>
      </w:r>
    </w:p>
    <w:p w14:paraId="27EF082A" w14:textId="27DE2E49" w:rsidR="00EB5051" w:rsidRPr="00867E9C" w:rsidRDefault="00316238" w:rsidP="00EB5051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120" w:afterAutospacing="0"/>
        <w:rPr>
          <w:rStyle w:val="lev"/>
          <w:rFonts w:asciiTheme="minorHAnsi" w:hAnsiTheme="minorHAnsi" w:cstheme="minorHAnsi"/>
          <w:b w:val="0"/>
          <w:bCs w:val="0"/>
          <w:sz w:val="22"/>
          <w:szCs w:val="22"/>
        </w:rPr>
      </w:pPr>
      <w:r w:rsidRPr="00867E9C">
        <w:rPr>
          <w:rStyle w:val="lev"/>
          <w:rFonts w:asciiTheme="minorHAnsi" w:hAnsiTheme="minorHAnsi" w:cstheme="minorHAnsi"/>
          <w:b w:val="0"/>
          <w:bCs w:val="0"/>
          <w:sz w:val="22"/>
          <w:szCs w:val="22"/>
        </w:rPr>
        <w:t>Le</w:t>
      </w:r>
      <w:r w:rsidR="00EB5051" w:rsidRPr="00867E9C">
        <w:rPr>
          <w:rStyle w:val="lev"/>
          <w:rFonts w:asciiTheme="minorHAnsi" w:hAnsiTheme="minorHAnsi" w:cstheme="minorHAnsi"/>
          <w:b w:val="0"/>
          <w:bCs w:val="0"/>
          <w:sz w:val="22"/>
          <w:szCs w:val="22"/>
        </w:rPr>
        <w:t xml:space="preserve"> rapport hiérarchique, et toutes pièces relatives à l’accident de service (plan si accident de trajet etc…) ou à la maladie</w:t>
      </w:r>
      <w:r w:rsidRPr="00867E9C">
        <w:rPr>
          <w:rStyle w:val="lev"/>
          <w:rFonts w:asciiTheme="minorHAnsi" w:hAnsiTheme="minorHAnsi" w:cstheme="minorHAnsi"/>
          <w:b w:val="0"/>
          <w:bCs w:val="0"/>
          <w:sz w:val="22"/>
          <w:szCs w:val="22"/>
        </w:rPr>
        <w:t> ;</w:t>
      </w:r>
    </w:p>
    <w:p w14:paraId="1818EA1C" w14:textId="2ECFCC5F" w:rsidR="00EB5051" w:rsidRDefault="00316238" w:rsidP="00EB5051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120" w:afterAutospacing="0"/>
        <w:rPr>
          <w:rStyle w:val="lev"/>
          <w:rFonts w:asciiTheme="minorHAnsi" w:hAnsiTheme="minorHAnsi" w:cstheme="minorHAnsi"/>
          <w:b w:val="0"/>
          <w:bCs w:val="0"/>
          <w:sz w:val="22"/>
          <w:szCs w:val="22"/>
        </w:rPr>
      </w:pPr>
      <w:r w:rsidRPr="00EB5051">
        <w:rPr>
          <w:rStyle w:val="lev"/>
          <w:rFonts w:asciiTheme="minorHAnsi" w:hAnsiTheme="minorHAnsi" w:cstheme="minorHAnsi"/>
          <w:b w:val="0"/>
          <w:bCs w:val="0"/>
          <w:sz w:val="22"/>
          <w:szCs w:val="22"/>
        </w:rPr>
        <w:t>L’original</w:t>
      </w:r>
      <w:r w:rsidR="00EB5051" w:rsidRPr="00EB5051">
        <w:rPr>
          <w:rStyle w:val="lev"/>
          <w:rFonts w:asciiTheme="minorHAnsi" w:hAnsiTheme="minorHAnsi" w:cstheme="minorHAnsi"/>
          <w:b w:val="0"/>
          <w:bCs w:val="0"/>
          <w:sz w:val="22"/>
          <w:szCs w:val="22"/>
        </w:rPr>
        <w:t xml:space="preserve"> du rapport médical accompagné de toutes pièces médicales.</w:t>
      </w:r>
    </w:p>
    <w:p w14:paraId="7660FE65" w14:textId="77777777" w:rsidR="00EB5051" w:rsidRDefault="00EB5051">
      <w:pPr>
        <w:ind w:left="0"/>
        <w:rPr>
          <w:rStyle w:val="lev"/>
          <w:rFonts w:eastAsia="Times New Roman" w:cstheme="minorHAnsi"/>
          <w:b w:val="0"/>
          <w:bCs w:val="0"/>
          <w:lang w:eastAsia="fr-FR"/>
        </w:rPr>
      </w:pPr>
      <w:r>
        <w:rPr>
          <w:rStyle w:val="lev"/>
          <w:rFonts w:cstheme="minorHAnsi"/>
          <w:b w:val="0"/>
          <w:bCs w:val="0"/>
        </w:rPr>
        <w:br w:type="page"/>
      </w:r>
    </w:p>
    <w:p w14:paraId="026DD82C" w14:textId="77777777" w:rsidR="00EB5051" w:rsidRPr="00EB5051" w:rsidRDefault="00EB5051" w:rsidP="00EB5051">
      <w:pPr>
        <w:pStyle w:val="NormalWeb"/>
        <w:shd w:val="clear" w:color="auto" w:fill="FFFFFF"/>
        <w:spacing w:before="0" w:beforeAutospacing="0" w:after="120" w:afterAutospacing="0"/>
        <w:ind w:left="720"/>
        <w:rPr>
          <w:rStyle w:val="lev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ED9E627" w14:textId="77777777" w:rsidR="00EB5051" w:rsidRPr="00EB5051" w:rsidRDefault="00EB5051" w:rsidP="00EB5051">
      <w:pPr>
        <w:rPr>
          <w:rStyle w:val="lev"/>
          <w:rFonts w:cstheme="minorHAnsi"/>
        </w:rPr>
      </w:pPr>
      <w:r w:rsidRPr="00EB5051">
        <w:rPr>
          <w:rStyle w:val="lev"/>
          <w:rFonts w:cstheme="minorHAnsi"/>
        </w:rPr>
        <w:t>Etape 6</w:t>
      </w:r>
    </w:p>
    <w:p w14:paraId="585F1F90" w14:textId="4041CE83" w:rsidR="00EB5051" w:rsidRPr="00EB5051" w:rsidRDefault="00EB5051" w:rsidP="00EB5051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333333"/>
          <w:spacing w:val="-4"/>
          <w:sz w:val="22"/>
          <w:szCs w:val="22"/>
        </w:rPr>
      </w:pPr>
      <w:r w:rsidRPr="00EB5051">
        <w:rPr>
          <w:rFonts w:asciiTheme="minorHAnsi" w:hAnsiTheme="minorHAnsi" w:cstheme="minorHAnsi"/>
          <w:color w:val="333333"/>
          <w:spacing w:val="-4"/>
          <w:sz w:val="22"/>
          <w:szCs w:val="22"/>
        </w:rPr>
        <w:t xml:space="preserve">A la suite </w:t>
      </w:r>
      <w:r w:rsidR="00316238">
        <w:rPr>
          <w:rFonts w:asciiTheme="minorHAnsi" w:hAnsiTheme="minorHAnsi" w:cstheme="minorHAnsi"/>
          <w:color w:val="333333"/>
          <w:spacing w:val="-4"/>
          <w:sz w:val="22"/>
          <w:szCs w:val="22"/>
        </w:rPr>
        <w:t xml:space="preserve">de l’avis </w:t>
      </w:r>
      <w:r w:rsidRPr="00EB5051">
        <w:rPr>
          <w:rFonts w:asciiTheme="minorHAnsi" w:hAnsiTheme="minorHAnsi" w:cstheme="minorHAnsi"/>
          <w:color w:val="333333"/>
          <w:spacing w:val="-4"/>
          <w:sz w:val="22"/>
          <w:szCs w:val="22"/>
        </w:rPr>
        <w:t>du Conseil médical, au retour des pièces accompagnées du procès-verbal original du conseil médical,</w:t>
      </w:r>
      <w:r w:rsidRPr="00EB5051">
        <w:rPr>
          <w:rStyle w:val="lev"/>
          <w:rFonts w:asciiTheme="minorHAnsi" w:hAnsiTheme="minorHAnsi" w:cstheme="minorHAnsi"/>
          <w:color w:val="333333"/>
          <w:spacing w:val="-4"/>
          <w:sz w:val="22"/>
          <w:szCs w:val="22"/>
        </w:rPr>
        <w:t> </w:t>
      </w:r>
      <w:r w:rsidRPr="00EB5051">
        <w:rPr>
          <w:rFonts w:asciiTheme="minorHAnsi" w:hAnsiTheme="minorHAnsi" w:cstheme="minorHAnsi"/>
          <w:color w:val="333333"/>
          <w:spacing w:val="-4"/>
          <w:sz w:val="22"/>
          <w:szCs w:val="22"/>
        </w:rPr>
        <w:t>la collectivité doit transmettre à la Caisse des dépôts et consignations l’</w:t>
      </w:r>
      <w:hyperlink r:id="rId8" w:tgtFrame="_blank" w:history="1">
        <w:r w:rsidRPr="00EB5051">
          <w:rPr>
            <w:rFonts w:asciiTheme="minorHAnsi" w:hAnsiTheme="minorHAnsi" w:cstheme="minorHAnsi"/>
            <w:color w:val="333333"/>
            <w:sz w:val="22"/>
            <w:szCs w:val="22"/>
          </w:rPr>
          <w:t>ensemble des pièces nécessaires</w:t>
        </w:r>
      </w:hyperlink>
      <w:r w:rsidRPr="00EB5051">
        <w:rPr>
          <w:rFonts w:asciiTheme="minorHAnsi" w:hAnsiTheme="minorHAnsi" w:cstheme="minorHAnsi"/>
          <w:color w:val="333333"/>
          <w:spacing w:val="-4"/>
          <w:sz w:val="22"/>
          <w:szCs w:val="22"/>
        </w:rPr>
        <w:t> à l’examen des droits.</w:t>
      </w:r>
    </w:p>
    <w:p w14:paraId="544AB665" w14:textId="77777777" w:rsidR="00EB5051" w:rsidRPr="00EB5051" w:rsidRDefault="00EB5051" w:rsidP="00EB5051">
      <w:pPr>
        <w:rPr>
          <w:rStyle w:val="lev"/>
          <w:rFonts w:cstheme="minorHAnsi"/>
        </w:rPr>
      </w:pPr>
      <w:r w:rsidRPr="00EB5051">
        <w:rPr>
          <w:rStyle w:val="lev"/>
          <w:rFonts w:cstheme="minorHAnsi"/>
        </w:rPr>
        <w:t>Etape 7</w:t>
      </w:r>
    </w:p>
    <w:p w14:paraId="51442DC9" w14:textId="77777777" w:rsidR="00EB5051" w:rsidRPr="00EB5051" w:rsidRDefault="00EB5051" w:rsidP="00EB5051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333333"/>
          <w:spacing w:val="-4"/>
          <w:sz w:val="22"/>
          <w:szCs w:val="22"/>
        </w:rPr>
      </w:pPr>
      <w:r w:rsidRPr="00EB5051">
        <w:rPr>
          <w:rFonts w:asciiTheme="minorHAnsi" w:hAnsiTheme="minorHAnsi" w:cstheme="minorHAnsi"/>
          <w:color w:val="333333"/>
          <w:spacing w:val="-4"/>
          <w:sz w:val="22"/>
          <w:szCs w:val="22"/>
        </w:rPr>
        <w:t>La Caisse des dépôts étudie le dossier, informe la collectivité de son avis et transmet également à l’agent un certificat d’attribution en cas d’octroi de l’allocation, ou une décision de rejet en cas de refus.</w:t>
      </w:r>
    </w:p>
    <w:p w14:paraId="42DB9091" w14:textId="77777777" w:rsidR="00FA11DE" w:rsidRPr="00FA11DE" w:rsidRDefault="00FA11DE" w:rsidP="00FA11DE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Theme="minorHAnsi" w:hAnsiTheme="minorHAnsi" w:cstheme="minorHAnsi"/>
          <w:b w:val="0"/>
          <w:bCs w:val="0"/>
          <w:color w:val="333333"/>
          <w:spacing w:val="-4"/>
          <w:sz w:val="22"/>
          <w:szCs w:val="22"/>
        </w:rPr>
      </w:pPr>
      <w:r w:rsidRPr="00FA11DE">
        <w:rPr>
          <w:rStyle w:val="lev"/>
          <w:rFonts w:asciiTheme="minorHAnsi" w:hAnsiTheme="minorHAnsi" w:cstheme="minorHAnsi"/>
          <w:color w:val="333333"/>
          <w:spacing w:val="-4"/>
          <w:sz w:val="22"/>
          <w:szCs w:val="22"/>
        </w:rPr>
        <w:t>Pièces à télécharger sur le site de l’ATIACL :</w:t>
      </w:r>
    </w:p>
    <w:p w14:paraId="7C45E749" w14:textId="77777777" w:rsidR="00FA11DE" w:rsidRPr="00FA11DE" w:rsidRDefault="00867E9C" w:rsidP="00FA11DE">
      <w:pPr>
        <w:pStyle w:val="NormalWeb"/>
        <w:shd w:val="clear" w:color="auto" w:fill="FFFFFF"/>
        <w:spacing w:before="0" w:beforeAutospacing="0" w:after="360" w:afterAutospacing="0"/>
        <w:rPr>
          <w:rStyle w:val="lev"/>
          <w:rFonts w:asciiTheme="minorHAnsi" w:hAnsiTheme="minorHAnsi" w:cstheme="minorHAnsi"/>
          <w:b w:val="0"/>
          <w:bCs w:val="0"/>
          <w:color w:val="333333"/>
          <w:spacing w:val="-4"/>
          <w:sz w:val="22"/>
          <w:szCs w:val="22"/>
        </w:rPr>
      </w:pPr>
      <w:hyperlink r:id="rId9" w:history="1">
        <w:r w:rsidR="00FA11DE" w:rsidRPr="00FA11DE">
          <w:rPr>
            <w:rStyle w:val="Lienhypertexte"/>
            <w:rFonts w:asciiTheme="minorHAnsi" w:hAnsiTheme="minorHAnsi" w:cstheme="minorHAnsi"/>
            <w:sz w:val="22"/>
            <w:szCs w:val="22"/>
          </w:rPr>
          <w:t>Constituer un dossier | ATIACL (caissedesdepots.fr)</w:t>
        </w:r>
      </w:hyperlink>
    </w:p>
    <w:p w14:paraId="21023D25" w14:textId="77777777" w:rsidR="00C35FA0" w:rsidRPr="00C35FA0" w:rsidRDefault="00C35FA0" w:rsidP="00AD32DF">
      <w:pPr>
        <w:rPr>
          <w:b/>
          <w:bCs/>
        </w:rPr>
      </w:pPr>
    </w:p>
    <w:p w14:paraId="154A7245" w14:textId="4FAE25ED" w:rsidR="003E0ED7" w:rsidRDefault="003E0ED7" w:rsidP="003E0ED7">
      <w:pPr>
        <w:pStyle w:val="encadr"/>
        <w:pBdr>
          <w:top w:val="single" w:sz="36" w:space="5" w:color="E1AE13"/>
          <w:left w:val="single" w:sz="36" w:space="5" w:color="E1AE13"/>
          <w:bottom w:val="single" w:sz="36" w:space="5" w:color="E1AE13"/>
          <w:right w:val="single" w:sz="36" w:space="5" w:color="E1AE13"/>
        </w:pBdr>
        <w:shd w:val="clear" w:color="auto" w:fill="E1AE13"/>
        <w:ind w:left="2835" w:right="3402"/>
        <w:rPr>
          <w:bCs/>
          <w:sz w:val="22"/>
          <w:szCs w:val="22"/>
        </w:rPr>
      </w:pPr>
      <w:r w:rsidRPr="003E0ED7">
        <w:rPr>
          <w:bCs/>
          <w:sz w:val="22"/>
          <w:szCs w:val="22"/>
        </w:rPr>
        <w:t xml:space="preserve">Pour toute question, n’hésitez pas à contacter le </w:t>
      </w:r>
      <w:r w:rsidR="00EB5051">
        <w:rPr>
          <w:bCs/>
          <w:sz w:val="22"/>
          <w:szCs w:val="22"/>
        </w:rPr>
        <w:t>service protection sociale</w:t>
      </w:r>
    </w:p>
    <w:p w14:paraId="058AC98C" w14:textId="77777777" w:rsidR="008262A5" w:rsidRDefault="008262A5" w:rsidP="003E0ED7">
      <w:pPr>
        <w:pStyle w:val="encadr"/>
        <w:pBdr>
          <w:top w:val="single" w:sz="36" w:space="5" w:color="E1AE13"/>
          <w:left w:val="single" w:sz="36" w:space="5" w:color="E1AE13"/>
          <w:bottom w:val="single" w:sz="36" w:space="5" w:color="E1AE13"/>
          <w:right w:val="single" w:sz="36" w:space="5" w:color="E1AE13"/>
        </w:pBdr>
        <w:shd w:val="clear" w:color="auto" w:fill="E1AE13"/>
        <w:ind w:left="2835" w:right="3402"/>
        <w:rPr>
          <w:bCs/>
          <w:sz w:val="22"/>
          <w:szCs w:val="22"/>
        </w:rPr>
      </w:pPr>
    </w:p>
    <w:p w14:paraId="3EFF4AF9" w14:textId="77777777" w:rsidR="008262A5" w:rsidRPr="008262A5" w:rsidRDefault="003E0ED7" w:rsidP="00B51708">
      <w:pPr>
        <w:pStyle w:val="encadr"/>
        <w:pBdr>
          <w:top w:val="single" w:sz="36" w:space="5" w:color="E1AE13"/>
          <w:left w:val="single" w:sz="36" w:space="5" w:color="E1AE13"/>
          <w:bottom w:val="single" w:sz="36" w:space="5" w:color="E1AE13"/>
          <w:right w:val="single" w:sz="36" w:space="5" w:color="E1AE13"/>
        </w:pBdr>
        <w:shd w:val="clear" w:color="auto" w:fill="E1AE13"/>
        <w:ind w:left="2835" w:right="3402"/>
        <w:rPr>
          <w:b/>
          <w:sz w:val="22"/>
          <w:szCs w:val="22"/>
        </w:rPr>
      </w:pPr>
      <w:r w:rsidRPr="008262A5">
        <w:rPr>
          <w:b/>
          <w:sz w:val="22"/>
          <w:szCs w:val="22"/>
        </w:rPr>
        <w:t xml:space="preserve">05 81 91 93 00  </w:t>
      </w:r>
    </w:p>
    <w:p w14:paraId="1424F6D8" w14:textId="77777777" w:rsidR="008262A5" w:rsidRPr="008262A5" w:rsidRDefault="008262A5" w:rsidP="00B51708">
      <w:pPr>
        <w:pStyle w:val="encadr"/>
        <w:pBdr>
          <w:top w:val="single" w:sz="36" w:space="5" w:color="E1AE13"/>
          <w:left w:val="single" w:sz="36" w:space="5" w:color="E1AE13"/>
          <w:bottom w:val="single" w:sz="36" w:space="5" w:color="E1AE13"/>
          <w:right w:val="single" w:sz="36" w:space="5" w:color="E1AE13"/>
        </w:pBdr>
        <w:shd w:val="clear" w:color="auto" w:fill="E1AE13"/>
        <w:ind w:left="2835" w:right="3402"/>
        <w:rPr>
          <w:b/>
          <w:sz w:val="22"/>
          <w:szCs w:val="22"/>
        </w:rPr>
      </w:pPr>
    </w:p>
    <w:p w14:paraId="75CA4FDA" w14:textId="50EAC772" w:rsidR="008E75F2" w:rsidRPr="008262A5" w:rsidRDefault="00EB5051" w:rsidP="00B51708">
      <w:pPr>
        <w:pStyle w:val="encadr"/>
        <w:pBdr>
          <w:top w:val="single" w:sz="36" w:space="5" w:color="E1AE13"/>
          <w:left w:val="single" w:sz="36" w:space="5" w:color="E1AE13"/>
          <w:bottom w:val="single" w:sz="36" w:space="5" w:color="E1AE13"/>
          <w:right w:val="single" w:sz="36" w:space="5" w:color="E1AE13"/>
        </w:pBdr>
        <w:shd w:val="clear" w:color="auto" w:fill="E1AE13"/>
        <w:ind w:left="2835" w:right="3402"/>
        <w:rPr>
          <w:b/>
        </w:rPr>
      </w:pPr>
      <w:r>
        <w:rPr>
          <w:b/>
          <w:sz w:val="22"/>
          <w:szCs w:val="22"/>
        </w:rPr>
        <w:t>protectionsociale</w:t>
      </w:r>
      <w:r w:rsidR="003E0ED7" w:rsidRPr="008262A5">
        <w:rPr>
          <w:b/>
          <w:sz w:val="22"/>
          <w:szCs w:val="22"/>
        </w:rPr>
        <w:t>@cdg31.fr</w:t>
      </w:r>
    </w:p>
    <w:p w14:paraId="16144322" w14:textId="77777777" w:rsidR="00053739" w:rsidRDefault="00053739" w:rsidP="00053739">
      <w:pPr>
        <w:pStyle w:val="Sansinterligne"/>
        <w:ind w:left="0"/>
      </w:pPr>
    </w:p>
    <w:p w14:paraId="22603C88" w14:textId="77777777" w:rsidR="00053739" w:rsidRDefault="00053739" w:rsidP="00053739">
      <w:pPr>
        <w:pStyle w:val="Sansinterligne"/>
        <w:ind w:left="0"/>
      </w:pPr>
    </w:p>
    <w:p w14:paraId="64D49957" w14:textId="77777777" w:rsidR="008E75F2" w:rsidRPr="008E75F2" w:rsidRDefault="008E75F2" w:rsidP="008E75F2">
      <w:pPr>
        <w:pStyle w:val="Sansinterligne"/>
      </w:pPr>
    </w:p>
    <w:p w14:paraId="4B0B882E" w14:textId="77777777" w:rsidR="008E75F2" w:rsidRDefault="008E75F2" w:rsidP="008E75F2">
      <w:pPr>
        <w:pStyle w:val="Sansinterligne"/>
      </w:pPr>
    </w:p>
    <w:p w14:paraId="147423EE" w14:textId="77777777" w:rsidR="00C036E1" w:rsidRDefault="00C036E1" w:rsidP="008E75F2">
      <w:pPr>
        <w:pStyle w:val="Sansinterligne"/>
      </w:pPr>
    </w:p>
    <w:p w14:paraId="4693256C" w14:textId="77777777" w:rsidR="00C036E1" w:rsidRPr="008E75F2" w:rsidRDefault="00C036E1" w:rsidP="008E75F2">
      <w:pPr>
        <w:pStyle w:val="Sansinterligne"/>
      </w:pPr>
    </w:p>
    <w:p w14:paraId="160F7069" w14:textId="77777777" w:rsidR="006B7256" w:rsidRDefault="006B7256" w:rsidP="00934AEB"/>
    <w:p w14:paraId="69582D41" w14:textId="77777777" w:rsidR="00053739" w:rsidRPr="00FE336D" w:rsidRDefault="00053739" w:rsidP="00934AEB"/>
    <w:p w14:paraId="76CD10E5" w14:textId="1293846F" w:rsidR="006B7256" w:rsidRPr="00FE336D" w:rsidRDefault="006B7256" w:rsidP="00934AEB"/>
    <w:p w14:paraId="340E0BD1" w14:textId="77777777" w:rsidR="006B7256" w:rsidRPr="00FE336D" w:rsidRDefault="006B7256" w:rsidP="00934AEB"/>
    <w:p w14:paraId="19E816B0" w14:textId="77777777" w:rsidR="006B7256" w:rsidRPr="00FE336D" w:rsidRDefault="006B7256" w:rsidP="00934AEB"/>
    <w:p w14:paraId="77BB1588" w14:textId="77777777" w:rsidR="006B7256" w:rsidRPr="00FE336D" w:rsidRDefault="006B7256" w:rsidP="00934AEB"/>
    <w:sectPr w:rsidR="006B7256" w:rsidRPr="00FE336D" w:rsidSect="007C5628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FB714" w14:textId="77777777" w:rsidR="00F33CCC" w:rsidRDefault="00F33CCC" w:rsidP="00934AEB">
      <w:r>
        <w:separator/>
      </w:r>
    </w:p>
  </w:endnote>
  <w:endnote w:type="continuationSeparator" w:id="0">
    <w:p w14:paraId="46B0C91C" w14:textId="77777777" w:rsidR="00F33CCC" w:rsidRDefault="00F33CCC" w:rsidP="00934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1ACA5" w14:textId="77777777" w:rsidR="007C5628" w:rsidRPr="00C86791" w:rsidRDefault="007C5628" w:rsidP="007C5628">
    <w:pPr>
      <w:pStyle w:val="Pieddepage"/>
      <w:jc w:val="center"/>
      <w:rPr>
        <w:sz w:val="10"/>
        <w:szCs w:val="1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C23C84" wp14:editId="6ED938CE">
              <wp:simplePos x="0" y="0"/>
              <wp:positionH relativeFrom="column">
                <wp:posOffset>-947420</wp:posOffset>
              </wp:positionH>
              <wp:positionV relativeFrom="paragraph">
                <wp:posOffset>-2540</wp:posOffset>
              </wp:positionV>
              <wp:extent cx="7696200" cy="0"/>
              <wp:effectExtent l="0" t="19050" r="19050" b="19050"/>
              <wp:wrapNone/>
              <wp:docPr id="10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E1AE1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06BBF7F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alt="&quot;&quot;" style="position:absolute;margin-left:-74.6pt;margin-top:-.2pt;width:60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" strokecolor="#e1ae13" strokeweight="2.5pt"/>
          </w:pict>
        </mc:Fallback>
      </mc:AlternateContent>
    </w:r>
  </w:p>
  <w:p w14:paraId="06A91075" w14:textId="77777777" w:rsidR="00A76AA5" w:rsidRPr="007C5628" w:rsidRDefault="007C5628" w:rsidP="007C5628">
    <w:pPr>
      <w:pStyle w:val="Normalcentr"/>
    </w:pPr>
    <w:r w:rsidRPr="00C86791">
      <w:t xml:space="preserve">Page </w:t>
    </w:r>
    <w:r w:rsidRPr="00C86791">
      <w:fldChar w:fldCharType="begin"/>
    </w:r>
    <w:r w:rsidRPr="00C86791">
      <w:instrText>PAGE  \* Arabic  \* MERGEFORMAT</w:instrText>
    </w:r>
    <w:r w:rsidRPr="00C86791">
      <w:fldChar w:fldCharType="separate"/>
    </w:r>
    <w:r w:rsidR="00266776">
      <w:rPr>
        <w:noProof/>
      </w:rPr>
      <w:t>2</w:t>
    </w:r>
    <w:r w:rsidRPr="00C86791">
      <w:fldChar w:fldCharType="end"/>
    </w:r>
    <w:r w:rsidRPr="00C86791">
      <w:t xml:space="preserve"> sur </w:t>
    </w:r>
    <w:r w:rsidR="00867E9C">
      <w:fldChar w:fldCharType="begin"/>
    </w:r>
    <w:r w:rsidR="00867E9C">
      <w:instrText>NUMPAGES  \* Arabic  \* MERGEFORMAT</w:instrText>
    </w:r>
    <w:r w:rsidR="00867E9C">
      <w:fldChar w:fldCharType="separate"/>
    </w:r>
    <w:r w:rsidR="00266776">
      <w:rPr>
        <w:noProof/>
      </w:rPr>
      <w:t>2</w:t>
    </w:r>
    <w:r w:rsidR="00867E9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A51EB" w14:textId="77777777" w:rsidR="007C5628" w:rsidRPr="00A030C0" w:rsidRDefault="007C5628" w:rsidP="007C5628">
    <w:pPr>
      <w:tabs>
        <w:tab w:val="center" w:pos="4536"/>
        <w:tab w:val="right" w:pos="9072"/>
      </w:tabs>
      <w:spacing w:after="0" w:line="240" w:lineRule="auto"/>
      <w:ind w:left="0"/>
      <w:jc w:val="center"/>
      <w:rPr>
        <w:rFonts w:eastAsia="Times New Roman" w:cstheme="minorHAnsi"/>
        <w:sz w:val="20"/>
        <w:szCs w:val="20"/>
        <w:lang w:eastAsia="fr-FR"/>
      </w:rPr>
    </w:pPr>
    <w:r w:rsidRPr="00A030C0">
      <w:rPr>
        <w:rFonts w:eastAsia="Times New Roman" w:cstheme="minorHAnsi"/>
        <w:sz w:val="20"/>
        <w:szCs w:val="20"/>
        <w:lang w:eastAsia="fr-FR"/>
      </w:rPr>
      <w:t xml:space="preserve">Page </w:t>
    </w:r>
    <w:r w:rsidRPr="00A030C0">
      <w:rPr>
        <w:rFonts w:eastAsia="Times New Roman" w:cstheme="minorHAnsi"/>
        <w:sz w:val="20"/>
        <w:szCs w:val="20"/>
        <w:lang w:eastAsia="fr-FR"/>
      </w:rPr>
      <w:fldChar w:fldCharType="begin"/>
    </w:r>
    <w:r w:rsidRPr="00A030C0">
      <w:rPr>
        <w:rFonts w:eastAsia="Times New Roman" w:cstheme="minorHAnsi"/>
        <w:sz w:val="20"/>
        <w:szCs w:val="20"/>
        <w:lang w:eastAsia="fr-FR"/>
      </w:rPr>
      <w:instrText>PAGE  \* Arabic  \* MERGEFORMAT</w:instrText>
    </w:r>
    <w:r w:rsidRPr="00A030C0">
      <w:rPr>
        <w:rFonts w:eastAsia="Times New Roman" w:cstheme="minorHAnsi"/>
        <w:sz w:val="20"/>
        <w:szCs w:val="20"/>
        <w:lang w:eastAsia="fr-FR"/>
      </w:rPr>
      <w:fldChar w:fldCharType="separate"/>
    </w:r>
    <w:r w:rsidR="00266776">
      <w:rPr>
        <w:rFonts w:eastAsia="Times New Roman" w:cstheme="minorHAnsi"/>
        <w:noProof/>
        <w:sz w:val="20"/>
        <w:szCs w:val="20"/>
        <w:lang w:eastAsia="fr-FR"/>
      </w:rPr>
      <w:t>1</w:t>
    </w:r>
    <w:r w:rsidRPr="00A030C0">
      <w:rPr>
        <w:rFonts w:eastAsia="Times New Roman" w:cstheme="minorHAnsi"/>
        <w:sz w:val="20"/>
        <w:szCs w:val="20"/>
        <w:lang w:eastAsia="fr-FR"/>
      </w:rPr>
      <w:fldChar w:fldCharType="end"/>
    </w:r>
    <w:r w:rsidRPr="00A030C0">
      <w:rPr>
        <w:rFonts w:eastAsia="Times New Roman" w:cstheme="minorHAnsi"/>
        <w:sz w:val="20"/>
        <w:szCs w:val="20"/>
        <w:lang w:eastAsia="fr-FR"/>
      </w:rPr>
      <w:t xml:space="preserve"> sur </w:t>
    </w:r>
    <w:r w:rsidRPr="00A030C0">
      <w:rPr>
        <w:rFonts w:eastAsia="Times New Roman" w:cstheme="minorHAnsi"/>
        <w:sz w:val="20"/>
        <w:szCs w:val="20"/>
        <w:lang w:eastAsia="fr-FR"/>
      </w:rPr>
      <w:fldChar w:fldCharType="begin"/>
    </w:r>
    <w:r w:rsidRPr="00A030C0">
      <w:rPr>
        <w:rFonts w:eastAsia="Times New Roman" w:cstheme="minorHAnsi"/>
        <w:sz w:val="20"/>
        <w:szCs w:val="20"/>
        <w:lang w:eastAsia="fr-FR"/>
      </w:rPr>
      <w:instrText>NUMPAGES  \* Arabic  \* MERGEFORMAT</w:instrText>
    </w:r>
    <w:r w:rsidRPr="00A030C0">
      <w:rPr>
        <w:rFonts w:eastAsia="Times New Roman" w:cstheme="minorHAnsi"/>
        <w:sz w:val="20"/>
        <w:szCs w:val="20"/>
        <w:lang w:eastAsia="fr-FR"/>
      </w:rPr>
      <w:fldChar w:fldCharType="separate"/>
    </w:r>
    <w:r w:rsidR="00266776">
      <w:rPr>
        <w:rFonts w:eastAsia="Times New Roman" w:cstheme="minorHAnsi"/>
        <w:noProof/>
        <w:sz w:val="20"/>
        <w:szCs w:val="20"/>
        <w:lang w:eastAsia="fr-FR"/>
      </w:rPr>
      <w:t>2</w:t>
    </w:r>
    <w:r w:rsidRPr="00A030C0">
      <w:rPr>
        <w:rFonts w:eastAsia="Times New Roman" w:cstheme="minorHAnsi"/>
        <w:sz w:val="20"/>
        <w:szCs w:val="20"/>
        <w:lang w:eastAsia="fr-FR"/>
      </w:rPr>
      <w:fldChar w:fldCharType="end"/>
    </w:r>
  </w:p>
  <w:p w14:paraId="0B559C56" w14:textId="77777777" w:rsidR="007C5628" w:rsidRPr="00A030C0" w:rsidRDefault="007C5628" w:rsidP="007C5628">
    <w:pPr>
      <w:tabs>
        <w:tab w:val="center" w:pos="4536"/>
        <w:tab w:val="right" w:pos="9072"/>
      </w:tabs>
      <w:spacing w:after="0" w:line="240" w:lineRule="auto"/>
      <w:ind w:left="0"/>
      <w:jc w:val="center"/>
      <w:rPr>
        <w:rFonts w:eastAsia="Times New Roman" w:cstheme="minorHAnsi"/>
        <w:sz w:val="20"/>
        <w:szCs w:val="20"/>
        <w:lang w:eastAsia="fr-FR"/>
      </w:rPr>
    </w:pPr>
    <w:r w:rsidRPr="00A030C0">
      <w:rPr>
        <w:rFonts w:eastAsia="Times New Roman" w:cstheme="minorHAnsi"/>
        <w:noProof/>
        <w:sz w:val="20"/>
        <w:szCs w:val="20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033C0A" wp14:editId="1E651759">
              <wp:simplePos x="0" y="0"/>
              <wp:positionH relativeFrom="column">
                <wp:posOffset>-947420</wp:posOffset>
              </wp:positionH>
              <wp:positionV relativeFrom="paragraph">
                <wp:posOffset>43180</wp:posOffset>
              </wp:positionV>
              <wp:extent cx="7696200" cy="0"/>
              <wp:effectExtent l="0" t="19050" r="19050" b="19050"/>
              <wp:wrapNone/>
              <wp:docPr id="6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E1AE1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40B2D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alt="&quot;&quot;" style="position:absolute;margin-left:-74.6pt;margin-top:3.4pt;width:60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" strokecolor="#e1ae13" strokeweight="2.5pt"/>
          </w:pict>
        </mc:Fallback>
      </mc:AlternateContent>
    </w:r>
  </w:p>
  <w:p w14:paraId="6E5B3B5F" w14:textId="77777777" w:rsidR="007C5628" w:rsidRPr="00A030C0" w:rsidRDefault="007C5628" w:rsidP="007C5628">
    <w:pPr>
      <w:tabs>
        <w:tab w:val="center" w:pos="4536"/>
        <w:tab w:val="right" w:pos="9072"/>
      </w:tabs>
      <w:spacing w:after="0" w:line="240" w:lineRule="auto"/>
      <w:ind w:left="0"/>
      <w:jc w:val="center"/>
      <w:rPr>
        <w:rFonts w:eastAsia="Times New Roman" w:cstheme="minorHAnsi"/>
        <w:sz w:val="20"/>
        <w:szCs w:val="20"/>
        <w:lang w:eastAsia="fr-FR"/>
      </w:rPr>
    </w:pPr>
    <w:r w:rsidRPr="00A030C0">
      <w:rPr>
        <w:rFonts w:eastAsia="Times New Roman" w:cstheme="minorHAnsi"/>
        <w:sz w:val="20"/>
        <w:szCs w:val="20"/>
        <w:lang w:eastAsia="fr-FR"/>
      </w:rPr>
      <w:t xml:space="preserve">Centre de Gestion de la FPT de </w:t>
    </w:r>
    <w:r w:rsidR="0051612D">
      <w:rPr>
        <w:rFonts w:eastAsia="Times New Roman" w:cstheme="minorHAnsi"/>
        <w:sz w:val="20"/>
        <w:szCs w:val="20"/>
        <w:lang w:eastAsia="fr-FR"/>
      </w:rPr>
      <w:t xml:space="preserve">la </w:t>
    </w:r>
    <w:r w:rsidRPr="00A030C0">
      <w:rPr>
        <w:rFonts w:eastAsia="Times New Roman" w:cstheme="minorHAnsi"/>
        <w:sz w:val="20"/>
        <w:szCs w:val="20"/>
        <w:lang w:eastAsia="fr-FR"/>
      </w:rPr>
      <w:t xml:space="preserve">Haute Garonne – 590 rue Buissonnière - CS37666 - 31676 Labège Cedex </w:t>
    </w:r>
  </w:p>
  <w:p w14:paraId="3D01AB31" w14:textId="77777777" w:rsidR="007C5628" w:rsidRPr="00A030C0" w:rsidRDefault="007C5628" w:rsidP="007C5628">
    <w:pPr>
      <w:tabs>
        <w:tab w:val="center" w:pos="4536"/>
        <w:tab w:val="right" w:pos="9072"/>
      </w:tabs>
      <w:spacing w:after="0" w:line="240" w:lineRule="auto"/>
      <w:ind w:left="0"/>
      <w:jc w:val="center"/>
      <w:rPr>
        <w:rFonts w:eastAsia="Times New Roman" w:cstheme="minorHAnsi"/>
        <w:sz w:val="20"/>
        <w:szCs w:val="20"/>
        <w:lang w:eastAsia="fr-FR"/>
      </w:rPr>
    </w:pPr>
    <w:r w:rsidRPr="00A030C0">
      <w:rPr>
        <w:rFonts w:eastAsia="Times New Roman" w:cstheme="minorHAnsi"/>
        <w:sz w:val="20"/>
        <w:szCs w:val="20"/>
        <w:lang w:eastAsia="fr-FR"/>
      </w:rPr>
      <w:t xml:space="preserve">Tél. : 05 81 91 93 00 – Fax : 05 62 26 09 39 - </w:t>
    </w:r>
    <w:hyperlink r:id="rId1" w:history="1">
      <w:r w:rsidRPr="00A030C0">
        <w:rPr>
          <w:rFonts w:eastAsia="Times New Roman" w:cstheme="minorHAnsi"/>
          <w:sz w:val="20"/>
          <w:szCs w:val="20"/>
          <w:lang w:eastAsia="fr-FR"/>
        </w:rPr>
        <w:t>contact@cdg31.fr</w:t>
      </w:r>
    </w:hyperlink>
    <w:r w:rsidRPr="00A030C0">
      <w:rPr>
        <w:rFonts w:eastAsia="Times New Roman" w:cstheme="minorHAnsi"/>
        <w:sz w:val="20"/>
        <w:szCs w:val="20"/>
        <w:lang w:eastAsia="fr-FR"/>
      </w:rPr>
      <w:t xml:space="preserve"> – www.cdg31.fr</w:t>
    </w:r>
  </w:p>
  <w:p w14:paraId="04113E10" w14:textId="6D2EA4E6" w:rsidR="007C5628" w:rsidRPr="007C5628" w:rsidRDefault="007C5628" w:rsidP="007C5628">
    <w:pPr>
      <w:pStyle w:val="pieddepage0"/>
      <w:rPr>
        <w:rFonts w:asciiTheme="minorHAnsi" w:hAnsiTheme="minorHAnsi" w:cstheme="minorHAnsi"/>
        <w:color w:val="auto"/>
        <w:sz w:val="20"/>
        <w:szCs w:val="20"/>
      </w:rPr>
    </w:pPr>
    <w:r w:rsidRPr="00A030C0">
      <w:rPr>
        <w:rFonts w:asciiTheme="minorHAnsi" w:hAnsiTheme="minorHAnsi" w:cstheme="minorHAnsi"/>
        <w:color w:val="auto"/>
        <w:sz w:val="20"/>
        <w:szCs w:val="20"/>
      </w:rPr>
      <w:t>© CDG 31. Tous droits réservés. [20</w:t>
    </w:r>
    <w:r>
      <w:rPr>
        <w:rFonts w:asciiTheme="minorHAnsi" w:hAnsiTheme="minorHAnsi" w:cstheme="minorHAnsi"/>
        <w:color w:val="auto"/>
        <w:sz w:val="20"/>
        <w:szCs w:val="20"/>
      </w:rPr>
      <w:t>2</w:t>
    </w:r>
    <w:r w:rsidR="00B66353">
      <w:rPr>
        <w:rFonts w:asciiTheme="minorHAnsi" w:hAnsiTheme="minorHAnsi" w:cstheme="minorHAnsi"/>
        <w:color w:val="auto"/>
        <w:sz w:val="20"/>
        <w:szCs w:val="20"/>
      </w:rPr>
      <w:t>3</w:t>
    </w:r>
    <w:r w:rsidRPr="00A030C0">
      <w:rPr>
        <w:rFonts w:asciiTheme="minorHAnsi" w:hAnsiTheme="minorHAnsi" w:cstheme="minorHAnsi"/>
        <w:color w:val="auto"/>
        <w:sz w:val="20"/>
        <w:szCs w:val="20"/>
      </w:rPr>
      <w:t>]. Toute exploitation commerciale est interdite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70D0C" w14:textId="77777777" w:rsidR="00F33CCC" w:rsidRDefault="00F33CCC" w:rsidP="00934AEB">
      <w:r>
        <w:separator/>
      </w:r>
    </w:p>
  </w:footnote>
  <w:footnote w:type="continuationSeparator" w:id="0">
    <w:p w14:paraId="78100053" w14:textId="77777777" w:rsidR="00F33CCC" w:rsidRDefault="00F33CCC" w:rsidP="00934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CBCC4" w14:textId="718FC985" w:rsidR="00FD2622" w:rsidRDefault="004A69B1">
    <w:pPr>
      <w:pStyle w:val="En-tte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96C6D64" wp14:editId="5290F422">
          <wp:simplePos x="0" y="0"/>
          <wp:positionH relativeFrom="page">
            <wp:align>left</wp:align>
          </wp:positionH>
          <wp:positionV relativeFrom="paragraph">
            <wp:posOffset>-419100</wp:posOffset>
          </wp:positionV>
          <wp:extent cx="7535894" cy="10668000"/>
          <wp:effectExtent l="0" t="0" r="8255" b="0"/>
          <wp:wrapNone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163" cy="10672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6941"/>
    <w:multiLevelType w:val="hybridMultilevel"/>
    <w:tmpl w:val="5574AE2A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91E7833"/>
    <w:multiLevelType w:val="hybridMultilevel"/>
    <w:tmpl w:val="34D670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60DB0"/>
    <w:multiLevelType w:val="hybridMultilevel"/>
    <w:tmpl w:val="35266E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F5C32"/>
    <w:multiLevelType w:val="hybridMultilevel"/>
    <w:tmpl w:val="44084E64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29CB1014"/>
    <w:multiLevelType w:val="hybridMultilevel"/>
    <w:tmpl w:val="1B1C82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509BA"/>
    <w:multiLevelType w:val="hybridMultilevel"/>
    <w:tmpl w:val="7C821D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D4B54"/>
    <w:multiLevelType w:val="hybridMultilevel"/>
    <w:tmpl w:val="BDE698DE"/>
    <w:lvl w:ilvl="0" w:tplc="E89C3276">
      <w:start w:val="1"/>
      <w:numFmt w:val="decimal"/>
      <w:pStyle w:val="soustitre"/>
      <w:lvlText w:val="%1."/>
      <w:lvlJc w:val="left"/>
      <w:pPr>
        <w:ind w:left="153" w:hanging="360"/>
      </w:pPr>
    </w:lvl>
    <w:lvl w:ilvl="1" w:tplc="040C0019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329B154E"/>
    <w:multiLevelType w:val="hybridMultilevel"/>
    <w:tmpl w:val="031A3D96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3A0345E2"/>
    <w:multiLevelType w:val="hybridMultilevel"/>
    <w:tmpl w:val="5FEA015C"/>
    <w:lvl w:ilvl="0" w:tplc="D5CC7AE2">
      <w:start w:val="1"/>
      <w:numFmt w:val="upperLetter"/>
      <w:lvlText w:val="%1."/>
      <w:lvlJc w:val="left"/>
      <w:pPr>
        <w:ind w:left="153" w:hanging="360"/>
      </w:p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51365017"/>
    <w:multiLevelType w:val="hybridMultilevel"/>
    <w:tmpl w:val="B0C4D3AA"/>
    <w:lvl w:ilvl="0" w:tplc="040C0001">
      <w:start w:val="1"/>
      <w:numFmt w:val="bullet"/>
      <w:lvlText w:val=""/>
      <w:lvlJc w:val="left"/>
      <w:pPr>
        <w:ind w:left="1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abstractNum w:abstractNumId="10" w15:restartNumberingAfterBreak="0">
    <w:nsid w:val="5ADC702D"/>
    <w:multiLevelType w:val="hybridMultilevel"/>
    <w:tmpl w:val="56BE22EA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60E1740B"/>
    <w:multiLevelType w:val="hybridMultilevel"/>
    <w:tmpl w:val="52AADCBA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673536E1"/>
    <w:multiLevelType w:val="hybridMultilevel"/>
    <w:tmpl w:val="3260E724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697B4E74"/>
    <w:multiLevelType w:val="hybridMultilevel"/>
    <w:tmpl w:val="2104D7D8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6AAD462E"/>
    <w:multiLevelType w:val="hybridMultilevel"/>
    <w:tmpl w:val="460249A4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710236B1"/>
    <w:multiLevelType w:val="hybridMultilevel"/>
    <w:tmpl w:val="E02A5290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77346A5D"/>
    <w:multiLevelType w:val="hybridMultilevel"/>
    <w:tmpl w:val="7C543586"/>
    <w:lvl w:ilvl="0" w:tplc="EB18ADBA">
      <w:start w:val="1"/>
      <w:numFmt w:val="upperRoman"/>
      <w:lvlText w:val="%1."/>
      <w:lvlJc w:val="right"/>
      <w:pPr>
        <w:ind w:left="153" w:hanging="360"/>
      </w:p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 w15:restartNumberingAfterBreak="0">
    <w:nsid w:val="77AD0914"/>
    <w:multiLevelType w:val="hybridMultilevel"/>
    <w:tmpl w:val="0C3E23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765917">
    <w:abstractNumId w:val="3"/>
  </w:num>
  <w:num w:numId="2" w16cid:durableId="1594556741">
    <w:abstractNumId w:val="7"/>
  </w:num>
  <w:num w:numId="3" w16cid:durableId="192501114">
    <w:abstractNumId w:val="9"/>
  </w:num>
  <w:num w:numId="4" w16cid:durableId="336926695">
    <w:abstractNumId w:val="6"/>
  </w:num>
  <w:num w:numId="5" w16cid:durableId="273438014">
    <w:abstractNumId w:val="11"/>
  </w:num>
  <w:num w:numId="6" w16cid:durableId="519510025">
    <w:abstractNumId w:val="12"/>
  </w:num>
  <w:num w:numId="7" w16cid:durableId="977877270">
    <w:abstractNumId w:val="13"/>
  </w:num>
  <w:num w:numId="8" w16cid:durableId="1476533610">
    <w:abstractNumId w:val="5"/>
  </w:num>
  <w:num w:numId="9" w16cid:durableId="363289104">
    <w:abstractNumId w:val="0"/>
  </w:num>
  <w:num w:numId="10" w16cid:durableId="134640193">
    <w:abstractNumId w:val="17"/>
  </w:num>
  <w:num w:numId="11" w16cid:durableId="1097336298">
    <w:abstractNumId w:val="14"/>
  </w:num>
  <w:num w:numId="12" w16cid:durableId="46340072">
    <w:abstractNumId w:val="15"/>
  </w:num>
  <w:num w:numId="13" w16cid:durableId="2057007462">
    <w:abstractNumId w:val="10"/>
  </w:num>
  <w:num w:numId="14" w16cid:durableId="828132997">
    <w:abstractNumId w:val="16"/>
  </w:num>
  <w:num w:numId="15" w16cid:durableId="1410274846">
    <w:abstractNumId w:val="8"/>
  </w:num>
  <w:num w:numId="16" w16cid:durableId="1860582263">
    <w:abstractNumId w:val="1"/>
  </w:num>
  <w:num w:numId="17" w16cid:durableId="2039505310">
    <w:abstractNumId w:val="4"/>
  </w:num>
  <w:num w:numId="18" w16cid:durableId="1152065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5E"/>
    <w:rsid w:val="00003789"/>
    <w:rsid w:val="00024450"/>
    <w:rsid w:val="0002458F"/>
    <w:rsid w:val="00053739"/>
    <w:rsid w:val="00064C44"/>
    <w:rsid w:val="00066FF5"/>
    <w:rsid w:val="000B4BAF"/>
    <w:rsid w:val="000E5459"/>
    <w:rsid w:val="00171B33"/>
    <w:rsid w:val="00173C06"/>
    <w:rsid w:val="00265DDD"/>
    <w:rsid w:val="00266776"/>
    <w:rsid w:val="002B13E0"/>
    <w:rsid w:val="002D35C9"/>
    <w:rsid w:val="002E0255"/>
    <w:rsid w:val="002E1DD2"/>
    <w:rsid w:val="00316238"/>
    <w:rsid w:val="003313AE"/>
    <w:rsid w:val="00340B63"/>
    <w:rsid w:val="00343267"/>
    <w:rsid w:val="003A4473"/>
    <w:rsid w:val="003E0ED7"/>
    <w:rsid w:val="00466E26"/>
    <w:rsid w:val="0047305D"/>
    <w:rsid w:val="00497686"/>
    <w:rsid w:val="004A4E73"/>
    <w:rsid w:val="004A69B1"/>
    <w:rsid w:val="00513A5D"/>
    <w:rsid w:val="00514889"/>
    <w:rsid w:val="0051612D"/>
    <w:rsid w:val="005225F4"/>
    <w:rsid w:val="00597757"/>
    <w:rsid w:val="005A6630"/>
    <w:rsid w:val="005D27C3"/>
    <w:rsid w:val="005F6731"/>
    <w:rsid w:val="006760D6"/>
    <w:rsid w:val="00681902"/>
    <w:rsid w:val="006A341C"/>
    <w:rsid w:val="006A3495"/>
    <w:rsid w:val="006B7256"/>
    <w:rsid w:val="006C1F9F"/>
    <w:rsid w:val="006C4D9B"/>
    <w:rsid w:val="006E122A"/>
    <w:rsid w:val="007555AD"/>
    <w:rsid w:val="00762338"/>
    <w:rsid w:val="00767F01"/>
    <w:rsid w:val="007C5628"/>
    <w:rsid w:val="008262A5"/>
    <w:rsid w:val="0083561D"/>
    <w:rsid w:val="00846FAF"/>
    <w:rsid w:val="00867E9C"/>
    <w:rsid w:val="008C7FC2"/>
    <w:rsid w:val="008D235A"/>
    <w:rsid w:val="008E75F2"/>
    <w:rsid w:val="00904DB8"/>
    <w:rsid w:val="00934AEB"/>
    <w:rsid w:val="009424A3"/>
    <w:rsid w:val="009610F1"/>
    <w:rsid w:val="00A05489"/>
    <w:rsid w:val="00A233EB"/>
    <w:rsid w:val="00A5059C"/>
    <w:rsid w:val="00A76AA5"/>
    <w:rsid w:val="00A82F43"/>
    <w:rsid w:val="00A8742D"/>
    <w:rsid w:val="00AB40BD"/>
    <w:rsid w:val="00AC2185"/>
    <w:rsid w:val="00AD266C"/>
    <w:rsid w:val="00AD32DF"/>
    <w:rsid w:val="00B17081"/>
    <w:rsid w:val="00B51708"/>
    <w:rsid w:val="00B554A6"/>
    <w:rsid w:val="00B66353"/>
    <w:rsid w:val="00B70521"/>
    <w:rsid w:val="00B96C5E"/>
    <w:rsid w:val="00BC2240"/>
    <w:rsid w:val="00BC46BC"/>
    <w:rsid w:val="00C036E1"/>
    <w:rsid w:val="00C1753B"/>
    <w:rsid w:val="00C337B9"/>
    <w:rsid w:val="00C35520"/>
    <w:rsid w:val="00C35FA0"/>
    <w:rsid w:val="00C72E70"/>
    <w:rsid w:val="00C77185"/>
    <w:rsid w:val="00CB6023"/>
    <w:rsid w:val="00CF238D"/>
    <w:rsid w:val="00D04757"/>
    <w:rsid w:val="00D46FF3"/>
    <w:rsid w:val="00D704A8"/>
    <w:rsid w:val="00E35AEF"/>
    <w:rsid w:val="00E43CB1"/>
    <w:rsid w:val="00E45AAC"/>
    <w:rsid w:val="00EB5051"/>
    <w:rsid w:val="00ED1338"/>
    <w:rsid w:val="00ED2F15"/>
    <w:rsid w:val="00ED3868"/>
    <w:rsid w:val="00F27417"/>
    <w:rsid w:val="00F31E4E"/>
    <w:rsid w:val="00F335DE"/>
    <w:rsid w:val="00F33CCC"/>
    <w:rsid w:val="00F6526B"/>
    <w:rsid w:val="00F77EC8"/>
    <w:rsid w:val="00F964FB"/>
    <w:rsid w:val="00FA11DE"/>
    <w:rsid w:val="00FD2622"/>
    <w:rsid w:val="00FD455C"/>
    <w:rsid w:val="00FE336D"/>
    <w:rsid w:val="00FF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29888"/>
  <w15:docId w15:val="{9F3F0C09-4834-471D-AB65-408243BD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66776"/>
    <w:pPr>
      <w:ind w:left="-567"/>
    </w:pPr>
  </w:style>
  <w:style w:type="paragraph" w:styleId="Titre1">
    <w:name w:val="heading 1"/>
    <w:basedOn w:val="Normal"/>
    <w:next w:val="Normal"/>
    <w:link w:val="Titre1Car"/>
    <w:uiPriority w:val="9"/>
    <w:qFormat/>
    <w:rsid w:val="00AD32DF"/>
    <w:pPr>
      <w:pBdr>
        <w:bottom w:val="single" w:sz="12" w:space="1" w:color="BE0F2E"/>
      </w:pBdr>
      <w:spacing w:after="360"/>
      <w:ind w:left="0"/>
      <w:outlineLvl w:val="0"/>
    </w:pPr>
    <w:rPr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04DB8"/>
    <w:pPr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3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5AEF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9424A3"/>
    <w:rPr>
      <w:b/>
      <w:sz w:val="24"/>
      <w:szCs w:val="24"/>
    </w:rPr>
  </w:style>
  <w:style w:type="paragraph" w:styleId="Sansinterligne">
    <w:name w:val="No Spacing"/>
    <w:uiPriority w:val="1"/>
    <w:qFormat/>
    <w:rsid w:val="00BC2240"/>
    <w:pPr>
      <w:spacing w:after="0" w:line="240" w:lineRule="auto"/>
      <w:ind w:left="-567"/>
      <w:jc w:val="both"/>
    </w:pPr>
    <w:rPr>
      <w:rFonts w:ascii="Calibri" w:hAnsi="Calibri"/>
    </w:rPr>
  </w:style>
  <w:style w:type="paragraph" w:styleId="En-tte">
    <w:name w:val="header"/>
    <w:basedOn w:val="Normal"/>
    <w:link w:val="En-tteCar"/>
    <w:uiPriority w:val="99"/>
    <w:unhideWhenUsed/>
    <w:rsid w:val="00A76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6AA5"/>
    <w:rPr>
      <w:rFonts w:ascii="Myriad Pro" w:hAnsi="Myriad Pro"/>
    </w:rPr>
  </w:style>
  <w:style w:type="paragraph" w:styleId="Pieddepage">
    <w:name w:val="footer"/>
    <w:basedOn w:val="Normal"/>
    <w:link w:val="PieddepageCar"/>
    <w:uiPriority w:val="99"/>
    <w:unhideWhenUsed/>
    <w:rsid w:val="00A76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6AA5"/>
    <w:rPr>
      <w:rFonts w:ascii="Myriad Pro" w:hAnsi="Myriad Pro"/>
    </w:rPr>
  </w:style>
  <w:style w:type="paragraph" w:customStyle="1" w:styleId="Paragraphestandard">
    <w:name w:val="[Paragraphe standard]"/>
    <w:basedOn w:val="Normal"/>
    <w:uiPriority w:val="99"/>
    <w:rsid w:val="00A76AA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refiche">
    <w:name w:val="Titre fiche"/>
    <w:basedOn w:val="Normal"/>
    <w:qFormat/>
    <w:rsid w:val="00CF238D"/>
    <w:rPr>
      <w:b/>
      <w:color w:val="FFFFFF" w:themeColor="background1"/>
      <w:sz w:val="50"/>
      <w:szCs w:val="50"/>
    </w:rPr>
  </w:style>
  <w:style w:type="paragraph" w:customStyle="1" w:styleId="fichepratique">
    <w:name w:val="fiche pratique"/>
    <w:basedOn w:val="Normal"/>
    <w:rsid w:val="00CF238D"/>
    <w:pPr>
      <w:jc w:val="center"/>
    </w:pPr>
    <w:rPr>
      <w:b/>
      <w:color w:val="FFFFFF" w:themeColor="background1"/>
      <w:sz w:val="44"/>
      <w:szCs w:val="44"/>
    </w:rPr>
  </w:style>
  <w:style w:type="paragraph" w:customStyle="1" w:styleId="Date1">
    <w:name w:val="Date1"/>
    <w:basedOn w:val="Normal"/>
    <w:rsid w:val="00CF238D"/>
    <w:pPr>
      <w:jc w:val="center"/>
    </w:pPr>
    <w:rPr>
      <w:color w:val="FFFFFF" w:themeColor="background1"/>
      <w:sz w:val="36"/>
      <w:szCs w:val="36"/>
    </w:rPr>
  </w:style>
  <w:style w:type="paragraph" w:customStyle="1" w:styleId="pieddepage0">
    <w:name w:val="pied de page"/>
    <w:basedOn w:val="Paragraphestandard"/>
    <w:rsid w:val="00F6526B"/>
    <w:pPr>
      <w:jc w:val="center"/>
    </w:pPr>
    <w:rPr>
      <w:rFonts w:ascii="Myriad Pro" w:hAnsi="Myriad Pro"/>
      <w:color w:val="808080" w:themeColor="background1" w:themeShade="80"/>
      <w:sz w:val="12"/>
      <w:szCs w:val="12"/>
    </w:rPr>
  </w:style>
  <w:style w:type="character" w:customStyle="1" w:styleId="Titre2Car">
    <w:name w:val="Titre 2 Car"/>
    <w:basedOn w:val="Policepardfaut"/>
    <w:link w:val="Titre2"/>
    <w:uiPriority w:val="9"/>
    <w:rsid w:val="00904DB8"/>
    <w:rPr>
      <w:b/>
      <w:b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14889"/>
    <w:pPr>
      <w:ind w:left="720"/>
      <w:contextualSpacing/>
    </w:pPr>
  </w:style>
  <w:style w:type="paragraph" w:customStyle="1" w:styleId="soustitre">
    <w:name w:val="sous titre"/>
    <w:basedOn w:val="Paragraphedeliste"/>
    <w:next w:val="Sansinterligne"/>
    <w:rsid w:val="009424A3"/>
    <w:pPr>
      <w:numPr>
        <w:numId w:val="4"/>
      </w:numPr>
    </w:pPr>
    <w:rPr>
      <w:b/>
    </w:rPr>
  </w:style>
  <w:style w:type="paragraph" w:styleId="Sous-titre">
    <w:name w:val="Subtitle"/>
    <w:basedOn w:val="Normal"/>
    <w:next w:val="Normal"/>
    <w:link w:val="Sous-titreCar"/>
    <w:uiPriority w:val="11"/>
    <w:rsid w:val="008E75F2"/>
    <w:pPr>
      <w:numPr>
        <w:ilvl w:val="1"/>
      </w:numPr>
      <w:ind w:left="-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8E75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encadr">
    <w:name w:val="encadré"/>
    <w:basedOn w:val="Sansinterligne"/>
    <w:rsid w:val="00762338"/>
    <w:pPr>
      <w:pBdr>
        <w:top w:val="single" w:sz="36" w:space="1" w:color="FFCC00"/>
        <w:left w:val="single" w:sz="36" w:space="4" w:color="FFCC00"/>
        <w:bottom w:val="single" w:sz="36" w:space="1" w:color="FFCC00"/>
        <w:right w:val="single" w:sz="36" w:space="4" w:color="FFCC00"/>
      </w:pBdr>
      <w:ind w:left="1134" w:right="1134"/>
      <w:jc w:val="center"/>
    </w:pPr>
    <w:rPr>
      <w:sz w:val="32"/>
      <w:szCs w:val="32"/>
    </w:rPr>
  </w:style>
  <w:style w:type="table" w:styleId="Grilledutableau">
    <w:name w:val="Table Grid"/>
    <w:basedOn w:val="TableauNormal"/>
    <w:uiPriority w:val="59"/>
    <w:rsid w:val="00466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3-Accent5">
    <w:name w:val="Medium Grid 3 Accent 5"/>
    <w:basedOn w:val="TableauNormal"/>
    <w:uiPriority w:val="69"/>
    <w:rsid w:val="006A341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Normalcentr">
    <w:name w:val="Block Text"/>
    <w:basedOn w:val="Normal"/>
    <w:qFormat/>
    <w:rsid w:val="007C5628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ind w:left="0"/>
      <w:jc w:val="center"/>
    </w:pPr>
    <w:rPr>
      <w:rFonts w:ascii="Calibri" w:eastAsia="Times New Roman" w:hAnsi="Calibri" w:cs="Calibri"/>
      <w:sz w:val="20"/>
      <w:lang w:eastAsia="fr-FR"/>
    </w:rPr>
  </w:style>
  <w:style w:type="table" w:styleId="TableauListe2-Accentuation2">
    <w:name w:val="List Table 2 Accent 2"/>
    <w:basedOn w:val="TableauNormal"/>
    <w:uiPriority w:val="47"/>
    <w:rsid w:val="009424A3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rmalWeb">
    <w:name w:val="Normal (Web)"/>
    <w:basedOn w:val="Normal"/>
    <w:uiPriority w:val="99"/>
    <w:unhideWhenUsed/>
    <w:rsid w:val="00C35FA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35FA0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FA11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9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tiques-sociales.caissedesdepots.fr/node/57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litiques-sociales.caissedesdepots.fr/sites/default/files/bareme_invalidite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olitiques-sociales.caissedesdepots.fr/ATIACL/la-constitution-dun-dossier-atiac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cdg31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741</Words>
  <Characters>4081</Characters>
  <Application>Microsoft Office Word</Application>
  <DocSecurity>4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    Bénéficiaires</vt:lpstr>
      <vt:lpstr>    Les conditions d'octroi </vt:lpstr>
    </vt:vector>
  </TitlesOfParts>
  <Company>CDG31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GOLFIER Alexandrine</dc:creator>
  <cp:lastModifiedBy>LABAUME Laetitia</cp:lastModifiedBy>
  <cp:revision>2</cp:revision>
  <dcterms:created xsi:type="dcterms:W3CDTF">2024-01-17T15:48:00Z</dcterms:created>
  <dcterms:modified xsi:type="dcterms:W3CDTF">2024-01-17T15:48:00Z</dcterms:modified>
</cp:coreProperties>
</file>